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56A0" w:rsidRPr="00E70914" w:rsidRDefault="002A56A0" w:rsidP="00016953">
      <w:pPr>
        <w:tabs>
          <w:tab w:val="right" w:pos="9072"/>
        </w:tabs>
        <w:rPr>
          <w:rFonts w:ascii="Arial" w:eastAsia="MS Mincho" w:hAnsi="Arial"/>
          <w:b/>
        </w:rPr>
      </w:pPr>
      <w:bookmarkStart w:id="0" w:name="OLE_LINK1"/>
      <w:r>
        <w:rPr>
          <w:rFonts w:ascii="Arial" w:eastAsia="MS Mincho" w:hAnsi="Arial"/>
          <w:b/>
          <w:bCs/>
        </w:rPr>
        <w:t>3GPP</w:t>
      </w:r>
      <w:r w:rsidR="0090367C">
        <w:rPr>
          <w:rFonts w:ascii="Arial" w:eastAsia="MS Mincho" w:hAnsi="Arial"/>
          <w:b/>
          <w:bCs/>
        </w:rPr>
        <w:t xml:space="preserve"> TSG RAN WG1 Meeting #</w:t>
      </w:r>
      <w:r w:rsidR="003704BD">
        <w:rPr>
          <w:rFonts w:ascii="Arial" w:eastAsia="MS Mincho" w:hAnsi="Arial"/>
          <w:b/>
          <w:bCs/>
        </w:rPr>
        <w:t>7</w:t>
      </w:r>
      <w:r w:rsidR="00F64177">
        <w:rPr>
          <w:rFonts w:ascii="Arial" w:eastAsia="MS Mincho" w:hAnsi="Arial"/>
          <w:b/>
          <w:bCs/>
        </w:rPr>
        <w:t>9</w:t>
      </w:r>
      <w:r w:rsidR="0090367C">
        <w:rPr>
          <w:rFonts w:ascii="Arial" w:eastAsia="MS Mincho" w:hAnsi="Arial"/>
          <w:b/>
          <w:bCs/>
        </w:rPr>
        <w:t>,</w:t>
      </w:r>
      <w:r w:rsidR="0090367C">
        <w:rPr>
          <w:rFonts w:ascii="Arial" w:eastAsia="MS Mincho" w:hAnsi="Arial"/>
          <w:b/>
          <w:bCs/>
        </w:rPr>
        <w:tab/>
        <w:t>R1-</w:t>
      </w:r>
      <w:r w:rsidR="00376A1D">
        <w:rPr>
          <w:rFonts w:ascii="Arial" w:eastAsia="MS Mincho" w:hAnsi="Arial"/>
          <w:b/>
          <w:bCs/>
        </w:rPr>
        <w:t>1451</w:t>
      </w:r>
      <w:r w:rsidR="00175EC2">
        <w:rPr>
          <w:rFonts w:ascii="Arial" w:eastAsia="MS Mincho" w:hAnsi="Arial"/>
          <w:b/>
          <w:bCs/>
        </w:rPr>
        <w:t>4</w:t>
      </w:r>
      <w:bookmarkStart w:id="1" w:name="_GoBack"/>
      <w:bookmarkEnd w:id="1"/>
      <w:r w:rsidR="00376A1D">
        <w:rPr>
          <w:rFonts w:ascii="Arial" w:eastAsia="MS Mincho" w:hAnsi="Arial"/>
          <w:b/>
          <w:bCs/>
        </w:rPr>
        <w:t>8</w:t>
      </w:r>
    </w:p>
    <w:p w:rsidR="003F68FD" w:rsidRPr="003F68FD" w:rsidRDefault="004170B3" w:rsidP="00016953">
      <w:pPr>
        <w:pStyle w:val="Header"/>
        <w:tabs>
          <w:tab w:val="clear" w:pos="4536"/>
          <w:tab w:val="left" w:pos="1800"/>
        </w:tabs>
        <w:ind w:left="1800" w:hanging="1800"/>
        <w:rPr>
          <w:bCs/>
        </w:rPr>
      </w:pPr>
      <w:r>
        <w:rPr>
          <w:bCs/>
        </w:rPr>
        <w:t>San Francisco</w:t>
      </w:r>
      <w:r w:rsidR="003F68FD" w:rsidRPr="003F68FD">
        <w:rPr>
          <w:bCs/>
        </w:rPr>
        <w:t xml:space="preserve">, </w:t>
      </w:r>
      <w:r>
        <w:rPr>
          <w:bCs/>
        </w:rPr>
        <w:t>USA</w:t>
      </w:r>
      <w:r w:rsidR="003F68FD" w:rsidRPr="003F68FD">
        <w:rPr>
          <w:bCs/>
        </w:rPr>
        <w:t xml:space="preserve">, </w:t>
      </w:r>
      <w:r>
        <w:rPr>
          <w:bCs/>
        </w:rPr>
        <w:t>17</w:t>
      </w:r>
      <w:r w:rsidR="003F68FD" w:rsidRPr="003F68FD">
        <w:rPr>
          <w:rFonts w:hint="eastAsia"/>
          <w:bCs/>
          <w:vertAlign w:val="superscript"/>
        </w:rPr>
        <w:t>th</w:t>
      </w:r>
      <w:r w:rsidR="003F68FD" w:rsidRPr="003F68FD">
        <w:rPr>
          <w:bCs/>
        </w:rPr>
        <w:t xml:space="preserve"> – </w:t>
      </w:r>
      <w:r>
        <w:rPr>
          <w:bCs/>
        </w:rPr>
        <w:t>21</w:t>
      </w:r>
      <w:r w:rsidR="003F68FD" w:rsidRPr="003F68FD">
        <w:rPr>
          <w:rFonts w:hint="eastAsia"/>
          <w:bCs/>
          <w:vertAlign w:val="superscript"/>
        </w:rPr>
        <w:t>th</w:t>
      </w:r>
      <w:r w:rsidR="003F68FD" w:rsidRPr="003F68FD">
        <w:rPr>
          <w:bCs/>
        </w:rPr>
        <w:t xml:space="preserve"> </w:t>
      </w:r>
      <w:r>
        <w:rPr>
          <w:bCs/>
        </w:rPr>
        <w:t>November</w:t>
      </w:r>
      <w:r w:rsidR="003F68FD" w:rsidRPr="003F68FD">
        <w:rPr>
          <w:bCs/>
        </w:rPr>
        <w:t xml:space="preserve"> 2014</w:t>
      </w:r>
    </w:p>
    <w:p w:rsidR="00891F6D" w:rsidRDefault="00891F6D" w:rsidP="00016953">
      <w:pPr>
        <w:pStyle w:val="Header"/>
        <w:tabs>
          <w:tab w:val="clear" w:pos="4536"/>
          <w:tab w:val="left" w:pos="1800"/>
        </w:tabs>
        <w:ind w:left="1800" w:hanging="1800"/>
      </w:pPr>
    </w:p>
    <w:p w:rsidR="002A56A0" w:rsidRPr="00E70914" w:rsidRDefault="002A56A0" w:rsidP="00016953">
      <w:pPr>
        <w:pStyle w:val="Header"/>
        <w:tabs>
          <w:tab w:val="clear" w:pos="4536"/>
          <w:tab w:val="left" w:pos="1800"/>
        </w:tabs>
        <w:ind w:left="1800" w:hanging="1800"/>
      </w:pPr>
      <w:r w:rsidRPr="00E70914">
        <w:t>Source:</w:t>
      </w:r>
      <w:r w:rsidRPr="00E70914">
        <w:tab/>
        <w:t>Ericsson</w:t>
      </w:r>
    </w:p>
    <w:p w:rsidR="002A56A0" w:rsidRPr="00E70914" w:rsidRDefault="002A56A0" w:rsidP="00016953">
      <w:pPr>
        <w:pStyle w:val="Header"/>
        <w:tabs>
          <w:tab w:val="clear" w:pos="4536"/>
          <w:tab w:val="left" w:pos="1800"/>
        </w:tabs>
      </w:pPr>
      <w:r w:rsidRPr="00E70914">
        <w:t>Title:</w:t>
      </w:r>
      <w:r w:rsidRPr="00E70914">
        <w:tab/>
      </w:r>
      <w:r w:rsidR="004170B3">
        <w:t>On D2D UE capabilities</w:t>
      </w:r>
    </w:p>
    <w:p w:rsidR="002A56A0" w:rsidRPr="00E70914" w:rsidRDefault="002A56A0" w:rsidP="00016953">
      <w:pPr>
        <w:pStyle w:val="Header"/>
        <w:tabs>
          <w:tab w:val="left" w:pos="1800"/>
        </w:tabs>
      </w:pPr>
      <w:r w:rsidRPr="00E70914">
        <w:t>Agenda Item:</w:t>
      </w:r>
      <w:r w:rsidRPr="00E70914">
        <w:tab/>
      </w:r>
      <w:r w:rsidR="00EC501D">
        <w:t>6.2.1.6</w:t>
      </w:r>
    </w:p>
    <w:p w:rsidR="002A56A0" w:rsidRPr="00E70914" w:rsidRDefault="002A56A0" w:rsidP="00016953">
      <w:pPr>
        <w:pStyle w:val="Header"/>
        <w:tabs>
          <w:tab w:val="left" w:pos="1800"/>
        </w:tabs>
      </w:pPr>
      <w:r w:rsidRPr="00E70914">
        <w:t>Document for:</w:t>
      </w:r>
      <w:r w:rsidRPr="00E70914">
        <w:tab/>
        <w:t>Discussion and Decision</w:t>
      </w:r>
    </w:p>
    <w:bookmarkEnd w:id="0"/>
    <w:p w:rsidR="002A56A0" w:rsidRPr="00E70914" w:rsidRDefault="002A56A0" w:rsidP="00016953">
      <w:pPr>
        <w:pBdr>
          <w:bottom w:val="single" w:sz="4" w:space="1" w:color="auto"/>
        </w:pBdr>
        <w:tabs>
          <w:tab w:val="left" w:pos="2552"/>
        </w:tabs>
      </w:pPr>
    </w:p>
    <w:p w:rsidR="00CD3FD9" w:rsidRPr="002C698F" w:rsidRDefault="002A56A0" w:rsidP="00016953">
      <w:pPr>
        <w:pStyle w:val="Heading1"/>
      </w:pPr>
      <w:bookmarkStart w:id="2" w:name="_Ref301342314"/>
      <w:r w:rsidRPr="00E70914">
        <w:t>Introduction</w:t>
      </w:r>
      <w:bookmarkEnd w:id="2"/>
    </w:p>
    <w:p w:rsidR="004170B3" w:rsidRDefault="00E37E8F" w:rsidP="00E37E8F">
      <w:pPr>
        <w:pStyle w:val="BodyText"/>
      </w:pPr>
      <w:r>
        <w:t>This contribution discusses the remaining issues on UE capabilities</w:t>
      </w:r>
      <w:r w:rsidR="004170B3">
        <w:t xml:space="preserve"> with relation to D2D specifically</w:t>
      </w:r>
      <w:r>
        <w:t>.</w:t>
      </w:r>
      <w:r w:rsidR="004170B3">
        <w:t xml:space="preserve"> The following agreements have been made that relates to this discussion</w:t>
      </w:r>
    </w:p>
    <w:p w:rsidR="004170B3" w:rsidRDefault="004170B3" w:rsidP="00E37E8F">
      <w:pPr>
        <w:pStyle w:val="BodyText"/>
      </w:pPr>
      <w:r>
        <w:t>In RAN2:</w:t>
      </w:r>
    </w:p>
    <w:tbl>
      <w:tblPr>
        <w:tblW w:w="0" w:type="auto"/>
        <w:tblInd w:w="1622" w:type="dxa"/>
        <w:tblCellMar>
          <w:left w:w="0" w:type="dxa"/>
          <w:right w:w="0" w:type="dxa"/>
        </w:tblCellMar>
        <w:tblLook w:val="04A0" w:firstRow="1" w:lastRow="0" w:firstColumn="1" w:lastColumn="0" w:noHBand="0" w:noVBand="1"/>
      </w:tblPr>
      <w:tblGrid>
        <w:gridCol w:w="7954"/>
      </w:tblGrid>
      <w:tr w:rsidR="004170B3" w:rsidTr="004170B3">
        <w:tc>
          <w:tcPr>
            <w:tcW w:w="101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70B3" w:rsidRDefault="004170B3">
            <w:pPr>
              <w:pStyle w:val="Doc-text2"/>
              <w:ind w:left="340" w:hanging="340"/>
              <w:rPr>
                <w:sz w:val="20"/>
                <w:szCs w:val="20"/>
                <w:lang w:val="en-GB"/>
              </w:rPr>
            </w:pPr>
            <w:r>
              <w:rPr>
                <w:b/>
                <w:bCs/>
                <w:lang w:val="en-GB"/>
              </w:rPr>
              <w:t>Agreements</w:t>
            </w:r>
          </w:p>
          <w:p w:rsidR="004170B3" w:rsidRDefault="004170B3">
            <w:pPr>
              <w:pStyle w:val="Doc-text2"/>
              <w:ind w:left="340" w:hanging="340"/>
              <w:rPr>
                <w:rFonts w:eastAsia="Times New Roman"/>
                <w:lang w:val="en-GB"/>
              </w:rPr>
            </w:pPr>
          </w:p>
          <w:p w:rsidR="004170B3" w:rsidRDefault="004170B3">
            <w:pPr>
              <w:pStyle w:val="Doc-text2"/>
              <w:ind w:left="340" w:hanging="340"/>
              <w:rPr>
                <w:sz w:val="20"/>
                <w:szCs w:val="20"/>
                <w:lang w:val="en-GB"/>
              </w:rPr>
            </w:pPr>
            <w:r>
              <w:rPr>
                <w:lang w:val="en-GB"/>
              </w:rPr>
              <w:t>1    The UE capabilities for ProSe will be reflected in UE capability signalling</w:t>
            </w:r>
          </w:p>
          <w:p w:rsidR="004170B3" w:rsidRDefault="004170B3">
            <w:pPr>
              <w:pStyle w:val="Doc-text2"/>
              <w:ind w:left="340" w:hanging="340"/>
              <w:rPr>
                <w:lang w:val="en-GB"/>
              </w:rPr>
            </w:pPr>
          </w:p>
          <w:p w:rsidR="004170B3" w:rsidRDefault="004170B3">
            <w:pPr>
              <w:pStyle w:val="Doc-text2"/>
              <w:ind w:left="340" w:hanging="340"/>
              <w:rPr>
                <w:lang w:val="en-GB"/>
              </w:rPr>
            </w:pPr>
            <w:r>
              <w:rPr>
                <w:lang w:val="en-GB"/>
              </w:rPr>
              <w:t xml:space="preserve">2    The UE may indicate per band combination on which bands (if any) it supports ProSe communication when configured according to that band combination. </w:t>
            </w:r>
          </w:p>
          <w:p w:rsidR="004170B3" w:rsidRDefault="004170B3">
            <w:pPr>
              <w:pStyle w:val="Doc-text2"/>
              <w:ind w:left="340" w:hanging="340"/>
              <w:rPr>
                <w:lang w:val="en-GB"/>
              </w:rPr>
            </w:pPr>
            <w:r>
              <w:rPr>
                <w:lang w:val="en-GB"/>
              </w:rPr>
              <w:t xml:space="preserve">FFS whether it is possible not to include just one bit per band combination. </w:t>
            </w:r>
          </w:p>
          <w:p w:rsidR="004170B3" w:rsidRDefault="004170B3">
            <w:pPr>
              <w:pStyle w:val="Doc-text2"/>
              <w:ind w:left="340" w:hanging="340"/>
              <w:rPr>
                <w:lang w:val="en-GB"/>
              </w:rPr>
            </w:pPr>
          </w:p>
          <w:p w:rsidR="004170B3" w:rsidRDefault="004170B3">
            <w:pPr>
              <w:pStyle w:val="Doc-text2"/>
              <w:ind w:left="340" w:hanging="340"/>
              <w:rPr>
                <w:lang w:val="en-GB"/>
              </w:rPr>
            </w:pPr>
            <w:r>
              <w:rPr>
                <w:lang w:val="en-GB"/>
              </w:rPr>
              <w:t xml:space="preserve">3    The mode is not indicated per band combination. </w:t>
            </w:r>
          </w:p>
          <w:p w:rsidR="004170B3" w:rsidRDefault="004170B3">
            <w:pPr>
              <w:pStyle w:val="Doc-text2"/>
              <w:ind w:left="340" w:hanging="340"/>
              <w:rPr>
                <w:lang w:val="en-GB"/>
              </w:rPr>
            </w:pPr>
            <w:r>
              <w:rPr>
                <w:lang w:val="en-GB"/>
              </w:rPr>
              <w:t>FFS whether there are two per-UE capability bits indicating support/IOT for mode-1 and mode-2.</w:t>
            </w:r>
          </w:p>
        </w:tc>
      </w:tr>
    </w:tbl>
    <w:p w:rsidR="004170B3" w:rsidRDefault="004170B3" w:rsidP="004170B3">
      <w:pPr>
        <w:rPr>
          <w:rFonts w:ascii="Calibri" w:eastAsiaTheme="minorHAnsi" w:hAnsi="Calibri" w:cs="Calibri"/>
          <w:szCs w:val="22"/>
        </w:rPr>
      </w:pPr>
    </w:p>
    <w:p w:rsidR="00775223" w:rsidRDefault="00775223" w:rsidP="00775223">
      <w:pPr>
        <w:pStyle w:val="Doc-text2"/>
      </w:pPr>
    </w:p>
    <w:tbl>
      <w:tblPr>
        <w:tblW w:w="0" w:type="auto"/>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7954"/>
      </w:tblGrid>
      <w:tr w:rsidR="00775223" w:rsidTr="00062914">
        <w:tc>
          <w:tcPr>
            <w:tcW w:w="10116" w:type="dxa"/>
            <w:shd w:val="clear" w:color="auto" w:fill="auto"/>
          </w:tcPr>
          <w:p w:rsidR="00775223" w:rsidRDefault="00775223" w:rsidP="00062914">
            <w:pPr>
              <w:pStyle w:val="Doc-text2"/>
              <w:tabs>
                <w:tab w:val="left" w:pos="340"/>
              </w:tabs>
              <w:ind w:left="340" w:hanging="340"/>
            </w:pPr>
            <w:r w:rsidRPr="00604E3B">
              <w:rPr>
                <w:b/>
              </w:rPr>
              <w:t xml:space="preserve">Agreements </w:t>
            </w:r>
          </w:p>
          <w:p w:rsidR="00775223" w:rsidRDefault="00775223" w:rsidP="00062914">
            <w:pPr>
              <w:pStyle w:val="Doc-text2"/>
              <w:tabs>
                <w:tab w:val="left" w:pos="340"/>
              </w:tabs>
              <w:ind w:left="340" w:hanging="340"/>
            </w:pPr>
          </w:p>
          <w:p w:rsidR="00775223" w:rsidRDefault="00775223" w:rsidP="00062914">
            <w:pPr>
              <w:pStyle w:val="Doc-text2"/>
              <w:tabs>
                <w:tab w:val="left" w:pos="340"/>
              </w:tabs>
              <w:ind w:left="340" w:hanging="340"/>
            </w:pPr>
            <w:r>
              <w:t>1</w:t>
            </w:r>
            <w:r>
              <w:tab/>
              <w:t>The combination of ProSe Communication and dual connectivity is not supported in Rel-12</w:t>
            </w:r>
          </w:p>
          <w:p w:rsidR="00775223" w:rsidRDefault="00775223" w:rsidP="00062914">
            <w:pPr>
              <w:pStyle w:val="Doc-text2"/>
              <w:tabs>
                <w:tab w:val="left" w:pos="340"/>
              </w:tabs>
              <w:ind w:left="340" w:hanging="340"/>
            </w:pPr>
          </w:p>
          <w:p w:rsidR="00775223" w:rsidRDefault="00775223" w:rsidP="00062914">
            <w:pPr>
              <w:pStyle w:val="Doc-text2"/>
              <w:tabs>
                <w:tab w:val="left" w:pos="340"/>
              </w:tabs>
              <w:ind w:left="340" w:hanging="340"/>
            </w:pPr>
            <w:r>
              <w:t>2</w:t>
            </w:r>
            <w:r>
              <w:tab/>
              <w:t>A cell on one carrier cannot configure ProSe communication configuration for another frequency, i.e., ProSe configuration is only provided for the PCell.</w:t>
            </w:r>
            <w:r>
              <w:br/>
              <w:t xml:space="preserve">Case a:  the serving cell cannot provide ProSe configuration for a frequency where the UE has </w:t>
            </w:r>
            <w:r w:rsidRPr="00604E3B">
              <w:rPr>
                <w:u w:val="single"/>
              </w:rPr>
              <w:t>no</w:t>
            </w:r>
            <w:r>
              <w:t xml:space="preserve"> coverage (it uses pre-configuration there); </w:t>
            </w:r>
            <w:r>
              <w:br/>
              <w:t xml:space="preserve">Case b: </w:t>
            </w:r>
            <w:r w:rsidRPr="0057640B">
              <w:t>the serving cell cannot provide ProSe configuration for a</w:t>
            </w:r>
            <w:r>
              <w:t>nother</w:t>
            </w:r>
            <w:r w:rsidRPr="0057640B">
              <w:t xml:space="preserve"> frequency where the UE has coverage</w:t>
            </w:r>
            <w:r>
              <w:t xml:space="preserve"> (with or without configured SCell). If the UE is not configured with an SCell on the other frequency, the UE may use mode-2 configuration provided in SIB18 of the other cell if that provides the pools and perform ProSe accordingly.)</w:t>
            </w:r>
          </w:p>
          <w:p w:rsidR="00775223" w:rsidRDefault="00775223" w:rsidP="00062914">
            <w:pPr>
              <w:pStyle w:val="Doc-text2"/>
              <w:tabs>
                <w:tab w:val="left" w:pos="340"/>
              </w:tabs>
              <w:ind w:left="340" w:hanging="340"/>
            </w:pPr>
          </w:p>
          <w:p w:rsidR="00775223" w:rsidRDefault="00775223" w:rsidP="00062914">
            <w:pPr>
              <w:pStyle w:val="Doc-text2"/>
              <w:tabs>
                <w:tab w:val="left" w:pos="340"/>
              </w:tabs>
              <w:ind w:left="340" w:hanging="340"/>
            </w:pPr>
            <w:r>
              <w:t>3</w:t>
            </w:r>
            <w:r>
              <w:tab/>
              <w:t xml:space="preserve">For ProSe discovery, the UE may receive ProSe discovery signals on other frequencies, no matter whether there are configure SCells or not. </w:t>
            </w:r>
            <w:r>
              <w:br/>
              <w:t xml:space="preserve">The PCell provides information only for the PCell. Hence UEs have to read SIB18 from the respective neighbour/SCell carriers. </w:t>
            </w:r>
          </w:p>
          <w:p w:rsidR="00775223" w:rsidRPr="000725D6" w:rsidRDefault="00775223" w:rsidP="00062914">
            <w:pPr>
              <w:pStyle w:val="Doc-text2"/>
              <w:tabs>
                <w:tab w:val="left" w:pos="340"/>
              </w:tabs>
              <w:ind w:left="340" w:hanging="340"/>
            </w:pPr>
          </w:p>
        </w:tc>
      </w:tr>
    </w:tbl>
    <w:p w:rsidR="00775223" w:rsidRDefault="00775223" w:rsidP="004170B3">
      <w:pPr>
        <w:rPr>
          <w:rFonts w:ascii="Calibri" w:eastAsiaTheme="minorHAnsi" w:hAnsi="Calibri" w:cs="Calibri"/>
          <w:szCs w:val="22"/>
        </w:rPr>
      </w:pPr>
    </w:p>
    <w:p w:rsidR="004170B3" w:rsidRDefault="004170B3" w:rsidP="00E37E8F">
      <w:pPr>
        <w:pStyle w:val="BodyText"/>
      </w:pPr>
    </w:p>
    <w:p w:rsidR="00F64177" w:rsidRDefault="004170B3" w:rsidP="00E37E8F">
      <w:pPr>
        <w:pStyle w:val="BodyText"/>
      </w:pPr>
      <w:r>
        <w:t>In RAN1:</w:t>
      </w:r>
    </w:p>
    <w:p w:rsidR="004170B3" w:rsidRDefault="004170B3" w:rsidP="004170B3">
      <w:pPr>
        <w:numPr>
          <w:ilvl w:val="0"/>
          <w:numId w:val="39"/>
        </w:numPr>
        <w:autoSpaceDN w:val="0"/>
        <w:rPr>
          <w:lang w:eastAsia="ja-JP"/>
        </w:rPr>
      </w:pPr>
      <w:r>
        <w:rPr>
          <w:lang w:eastAsia="ja-JP"/>
        </w:rPr>
        <w:t xml:space="preserve">FFS (UE capability discussion) mandatory/optional status of each of the following UE types for UEs that support D2D in Rel-12: </w:t>
      </w:r>
    </w:p>
    <w:p w:rsidR="004170B3" w:rsidRPr="00B5045C" w:rsidRDefault="004170B3" w:rsidP="004170B3">
      <w:pPr>
        <w:numPr>
          <w:ilvl w:val="1"/>
          <w:numId w:val="39"/>
        </w:numPr>
        <w:autoSpaceDN w:val="0"/>
        <w:rPr>
          <w:lang w:eastAsia="ja-JP"/>
        </w:rPr>
      </w:pPr>
      <w:r w:rsidRPr="00B5045C">
        <w:rPr>
          <w:lang w:eastAsia="ja-JP"/>
        </w:rPr>
        <w:t>UEs with more than 1 tx chain, of which 1 can be used for D2D</w:t>
      </w:r>
    </w:p>
    <w:p w:rsidR="004170B3" w:rsidRPr="00775223" w:rsidRDefault="004170B3" w:rsidP="004170B3">
      <w:pPr>
        <w:numPr>
          <w:ilvl w:val="1"/>
          <w:numId w:val="39"/>
        </w:numPr>
        <w:autoSpaceDN w:val="0"/>
        <w:rPr>
          <w:lang w:eastAsia="ja-JP"/>
        </w:rPr>
      </w:pPr>
      <w:r w:rsidRPr="00775223">
        <w:rPr>
          <w:lang w:eastAsia="ja-JP"/>
        </w:rPr>
        <w:t>UEs with only a single tx chain</w:t>
      </w:r>
    </w:p>
    <w:p w:rsidR="004170B3" w:rsidRPr="00C658DD" w:rsidRDefault="004170B3" w:rsidP="004170B3">
      <w:pPr>
        <w:numPr>
          <w:ilvl w:val="1"/>
          <w:numId w:val="39"/>
        </w:numPr>
        <w:autoSpaceDN w:val="0"/>
        <w:rPr>
          <w:lang w:eastAsia="ja-JP"/>
        </w:rPr>
      </w:pPr>
      <w:r w:rsidRPr="00C658DD">
        <w:rPr>
          <w:lang w:eastAsia="ja-JP"/>
        </w:rPr>
        <w:t>Note that different capabilities for communication and discovery are not precluded from being discussed</w:t>
      </w:r>
    </w:p>
    <w:p w:rsidR="004170B3" w:rsidRPr="00C658DD" w:rsidRDefault="004170B3" w:rsidP="004170B3">
      <w:pPr>
        <w:numPr>
          <w:ilvl w:val="0"/>
          <w:numId w:val="39"/>
        </w:numPr>
        <w:autoSpaceDN w:val="0"/>
        <w:rPr>
          <w:lang w:eastAsia="ja-JP"/>
        </w:rPr>
      </w:pPr>
      <w:r w:rsidRPr="00C658DD">
        <w:rPr>
          <w:lang w:eastAsia="ja-JP"/>
        </w:rPr>
        <w:t>From a single UE perspective to support multi-carrier operation:</w:t>
      </w:r>
    </w:p>
    <w:p w:rsidR="004170B3" w:rsidRPr="00B5045C" w:rsidRDefault="004170B3" w:rsidP="004170B3">
      <w:pPr>
        <w:numPr>
          <w:ilvl w:val="1"/>
          <w:numId w:val="39"/>
        </w:numPr>
        <w:autoSpaceDN w:val="0"/>
        <w:rPr>
          <w:lang w:eastAsia="ja-JP"/>
        </w:rPr>
      </w:pPr>
      <w:r w:rsidRPr="00B5045C">
        <w:rPr>
          <w:lang w:eastAsia="ja-JP"/>
        </w:rPr>
        <w:t xml:space="preserve">Case 1: Simultaneous D2D TX on CC1 and WAN TX on CC2 </w:t>
      </w:r>
    </w:p>
    <w:p w:rsidR="004170B3" w:rsidRPr="00B5045C" w:rsidRDefault="004170B3" w:rsidP="004170B3">
      <w:pPr>
        <w:numPr>
          <w:ilvl w:val="2"/>
          <w:numId w:val="39"/>
        </w:numPr>
        <w:autoSpaceDN w:val="0"/>
        <w:rPr>
          <w:lang w:eastAsia="ja-JP"/>
        </w:rPr>
      </w:pPr>
      <w:r w:rsidRPr="00B5045C">
        <w:rPr>
          <w:lang w:eastAsia="ja-JP"/>
        </w:rPr>
        <w:t>For UEs with more than 1 tx chain, of which 1 can be used for D2D: Supported from RAN1 perspective (simultaneous WAN + D2D TX)</w:t>
      </w:r>
    </w:p>
    <w:p w:rsidR="004170B3" w:rsidRDefault="004170B3" w:rsidP="004170B3">
      <w:pPr>
        <w:numPr>
          <w:ilvl w:val="1"/>
          <w:numId w:val="39"/>
        </w:numPr>
        <w:autoSpaceDN w:val="0"/>
        <w:rPr>
          <w:lang w:eastAsia="ja-JP"/>
        </w:rPr>
      </w:pPr>
      <w:r>
        <w:rPr>
          <w:lang w:eastAsia="ja-JP"/>
        </w:rPr>
        <w:t xml:space="preserve">Case 2: Simultaneous D2D TX on CC1 and WAN RX on CC2 </w:t>
      </w:r>
    </w:p>
    <w:p w:rsidR="004170B3" w:rsidRDefault="004170B3" w:rsidP="004170B3">
      <w:pPr>
        <w:numPr>
          <w:ilvl w:val="2"/>
          <w:numId w:val="39"/>
        </w:numPr>
        <w:autoSpaceDN w:val="0"/>
        <w:rPr>
          <w:lang w:eastAsia="ja-JP"/>
        </w:rPr>
      </w:pPr>
      <w:r>
        <w:rPr>
          <w:lang w:eastAsia="ja-JP"/>
        </w:rPr>
        <w:t>Supported from RAN1 perspective (WAN RX + D2D TX)</w:t>
      </w:r>
    </w:p>
    <w:p w:rsidR="004170B3" w:rsidRDefault="004170B3" w:rsidP="004170B3">
      <w:pPr>
        <w:numPr>
          <w:ilvl w:val="1"/>
          <w:numId w:val="39"/>
        </w:numPr>
        <w:autoSpaceDN w:val="0"/>
        <w:rPr>
          <w:lang w:eastAsia="ja-JP"/>
        </w:rPr>
      </w:pPr>
      <w:r>
        <w:rPr>
          <w:lang w:eastAsia="ja-JP"/>
        </w:rPr>
        <w:t>Case 3: Simultaneous D2D RX on CC1 and WAN TX on CC2</w:t>
      </w:r>
    </w:p>
    <w:p w:rsidR="004170B3" w:rsidRDefault="004170B3" w:rsidP="004170B3">
      <w:pPr>
        <w:numPr>
          <w:ilvl w:val="2"/>
          <w:numId w:val="39"/>
        </w:numPr>
        <w:autoSpaceDN w:val="0"/>
        <w:rPr>
          <w:lang w:eastAsia="ja-JP"/>
        </w:rPr>
      </w:pPr>
      <w:r>
        <w:rPr>
          <w:lang w:eastAsia="ja-JP"/>
        </w:rPr>
        <w:t>Supported from RAN1 perspective (WAN TX + D2D RX)</w:t>
      </w:r>
    </w:p>
    <w:p w:rsidR="004170B3" w:rsidRDefault="004170B3" w:rsidP="004170B3">
      <w:pPr>
        <w:numPr>
          <w:ilvl w:val="1"/>
          <w:numId w:val="39"/>
        </w:numPr>
        <w:autoSpaceDN w:val="0"/>
        <w:rPr>
          <w:lang w:eastAsia="ja-JP"/>
        </w:rPr>
      </w:pPr>
      <w:r>
        <w:rPr>
          <w:lang w:eastAsia="ja-JP"/>
        </w:rPr>
        <w:t>For UEs with only a single tx chain,</w:t>
      </w:r>
    </w:p>
    <w:p w:rsidR="004170B3" w:rsidRDefault="004170B3" w:rsidP="004170B3">
      <w:pPr>
        <w:numPr>
          <w:ilvl w:val="2"/>
          <w:numId w:val="39"/>
        </w:numPr>
        <w:autoSpaceDN w:val="0"/>
        <w:rPr>
          <w:lang w:eastAsia="ja-JP"/>
        </w:rPr>
      </w:pPr>
      <w:r>
        <w:rPr>
          <w:lang w:eastAsia="ja-JP"/>
        </w:rPr>
        <w:t xml:space="preserve">In cases 1 and 2, if the UE is RRC_Connected on a WAN carrier, it does not perform D2D transmission on CC1 </w:t>
      </w:r>
    </w:p>
    <w:p w:rsidR="004170B3" w:rsidRDefault="004170B3" w:rsidP="004170B3">
      <w:pPr>
        <w:numPr>
          <w:ilvl w:val="0"/>
          <w:numId w:val="39"/>
        </w:numPr>
        <w:autoSpaceDN w:val="0"/>
        <w:rPr>
          <w:lang w:eastAsia="ja-JP"/>
        </w:rPr>
      </w:pPr>
      <w:r>
        <w:rPr>
          <w:lang w:eastAsia="ja-JP"/>
        </w:rPr>
        <w:t>Note that UL CA capable UEs are assumed from RAN1 perspective not to support UL CA with their maximum number of aggregated carriers simultaneously with D2D transmission on another carrier.</w:t>
      </w:r>
    </w:p>
    <w:p w:rsidR="00C658DD" w:rsidRDefault="00C658DD" w:rsidP="00B5045C">
      <w:pPr>
        <w:autoSpaceDN w:val="0"/>
        <w:ind w:left="720"/>
        <w:rPr>
          <w:lang w:eastAsia="ja-JP"/>
        </w:rPr>
      </w:pPr>
    </w:p>
    <w:p w:rsidR="00C658DD" w:rsidRDefault="00C658DD" w:rsidP="00B5045C">
      <w:pPr>
        <w:autoSpaceDN w:val="0"/>
        <w:rPr>
          <w:lang w:eastAsia="ja-JP"/>
        </w:rPr>
      </w:pPr>
      <w:r>
        <w:rPr>
          <w:lang w:eastAsia="ja-JP"/>
        </w:rPr>
        <w:t>It was also agreed that:</w:t>
      </w:r>
    </w:p>
    <w:p w:rsidR="00C658DD" w:rsidRDefault="00C658DD" w:rsidP="00B5045C">
      <w:pPr>
        <w:pStyle w:val="ListParagraph"/>
        <w:numPr>
          <w:ilvl w:val="0"/>
          <w:numId w:val="39"/>
        </w:numPr>
        <w:autoSpaceDN w:val="0"/>
        <w:rPr>
          <w:lang w:eastAsia="ja-JP"/>
        </w:rPr>
      </w:pPr>
      <w:r>
        <w:rPr>
          <w:lang w:eastAsia="ja-JP"/>
        </w:rPr>
        <w:t>A single UE is not expected to perform D2D transmission on more than one carrier at a given time.</w:t>
      </w:r>
    </w:p>
    <w:p w:rsidR="00C658DD" w:rsidRDefault="00C658DD" w:rsidP="00B5045C">
      <w:pPr>
        <w:pStyle w:val="ListParagraph"/>
        <w:numPr>
          <w:ilvl w:val="1"/>
          <w:numId w:val="39"/>
        </w:numPr>
        <w:autoSpaceDN w:val="0"/>
        <w:rPr>
          <w:lang w:eastAsia="ja-JP"/>
        </w:rPr>
      </w:pPr>
      <w:r>
        <w:rPr>
          <w:lang w:eastAsia="ja-JP"/>
        </w:rPr>
        <w:t>This carrier frequency is not changed dynamically.</w:t>
      </w:r>
    </w:p>
    <w:p w:rsidR="00C658DD" w:rsidRDefault="00C658DD" w:rsidP="00016953">
      <w:pPr>
        <w:pStyle w:val="BodyText"/>
      </w:pPr>
    </w:p>
    <w:p w:rsidR="00C658DD" w:rsidRPr="00B5045C" w:rsidRDefault="00C658DD" w:rsidP="00C658DD">
      <w:r>
        <w:t xml:space="preserve">One of the consequences of the above agreements is that </w:t>
      </w:r>
      <w:r w:rsidRPr="00B5045C">
        <w:t>for discovery and communication, for the serving cell, the UE can only transmit on frequency of the Pcell.</w:t>
      </w:r>
    </w:p>
    <w:p w:rsidR="00C658DD" w:rsidRDefault="00C658DD" w:rsidP="00C658DD">
      <w:r w:rsidRPr="00B5045C">
        <w:t>For communication the UE may transmit D2D on an out of coverage carrier</w:t>
      </w:r>
      <w:r>
        <w:t xml:space="preserve"> provided that the eNB has configured the UE to do so (if the UE is RRC_CONNECTED) or if the UE decides to </w:t>
      </w:r>
      <w:r w:rsidR="00B5045C">
        <w:t>transmit</w:t>
      </w:r>
      <w:r>
        <w:t xml:space="preserve"> D2D communication on that carrier (if the UE is RRC_IDLE). In the latter case, the UE cannot participate to D2D transmission on other carriers as long as it is participating in communication</w:t>
      </w:r>
      <w:r w:rsidR="00B5045C">
        <w:t xml:space="preserve"> transmission</w:t>
      </w:r>
      <w:r>
        <w:t xml:space="preserve"> on the out of coverage carrier.</w:t>
      </w:r>
      <w:r w:rsidR="00B5045C">
        <w:t xml:space="preserve"> Such carrier switch is not dynamic (i.e., it happens on a time scale much longer than the TTI).</w:t>
      </w:r>
    </w:p>
    <w:p w:rsidR="00C658DD" w:rsidRPr="00E70914" w:rsidRDefault="00C658DD" w:rsidP="00016953">
      <w:pPr>
        <w:pStyle w:val="BodyText"/>
      </w:pPr>
    </w:p>
    <w:p w:rsidR="002F00C3" w:rsidRDefault="002A56A0" w:rsidP="00F64177">
      <w:pPr>
        <w:pStyle w:val="Heading1"/>
      </w:pPr>
      <w:bookmarkStart w:id="3" w:name="_Ref346118000"/>
      <w:r w:rsidRPr="00E70914">
        <w:t>Discussion</w:t>
      </w:r>
      <w:bookmarkEnd w:id="3"/>
    </w:p>
    <w:p w:rsidR="00E37E8F" w:rsidRDefault="009C7DD9" w:rsidP="00F64177">
      <w:pPr>
        <w:pStyle w:val="BodyText"/>
      </w:pPr>
      <w:r>
        <w:t xml:space="preserve">The ProSe </w:t>
      </w:r>
      <w:r w:rsidR="00AB7A0C">
        <w:t>capabilities have</w:t>
      </w:r>
      <w:r>
        <w:t xml:space="preserve"> not yet been discusses as the feature </w:t>
      </w:r>
      <w:r w:rsidR="004877F4">
        <w:t xml:space="preserve">is currently being </w:t>
      </w:r>
      <w:r>
        <w:t>design</w:t>
      </w:r>
      <w:r w:rsidR="004877F4">
        <w:t>ed</w:t>
      </w:r>
      <w:r>
        <w:t xml:space="preserve">. A general framework has been captured in </w:t>
      </w:r>
      <w:r w:rsidR="004877F4">
        <w:fldChar w:fldCharType="begin"/>
      </w:r>
      <w:r w:rsidR="004877F4">
        <w:instrText xml:space="preserve"> REF _Ref399347084 \r \h </w:instrText>
      </w:r>
      <w:r w:rsidR="004877F4">
        <w:fldChar w:fldCharType="separate"/>
      </w:r>
      <w:r w:rsidR="004877F4">
        <w:t>[1]</w:t>
      </w:r>
      <w:r w:rsidR="004877F4">
        <w:fldChar w:fldCharType="end"/>
      </w:r>
      <w:r w:rsidR="004877F4">
        <w:t xml:space="preserve"> </w:t>
      </w:r>
      <w:r>
        <w:t xml:space="preserve"> for the</w:t>
      </w:r>
      <w:r w:rsidR="004877F4">
        <w:t xml:space="preserve"> UE</w:t>
      </w:r>
      <w:r>
        <w:t xml:space="preserve"> capabilities. In this section we discuss the capabilities based on this framework</w:t>
      </w:r>
      <w:r w:rsidR="004170B3">
        <w:t xml:space="preserve"> together with the above agreements that was reach at last RAN1 and RAN2 meetings</w:t>
      </w:r>
      <w:r>
        <w:t>.</w:t>
      </w:r>
    </w:p>
    <w:tbl>
      <w:tblPr>
        <w:tblW w:w="8946" w:type="dxa"/>
        <w:tblInd w:w="93" w:type="dxa"/>
        <w:tblLook w:val="04A0" w:firstRow="1" w:lastRow="0" w:firstColumn="1" w:lastColumn="0" w:noHBand="0" w:noVBand="1"/>
      </w:tblPr>
      <w:tblGrid>
        <w:gridCol w:w="1100"/>
        <w:gridCol w:w="680"/>
        <w:gridCol w:w="2140"/>
        <w:gridCol w:w="3183"/>
        <w:gridCol w:w="1843"/>
      </w:tblGrid>
      <w:tr w:rsidR="009C7DD9" w:rsidRPr="0016041A" w:rsidTr="009C7DD9">
        <w:trPr>
          <w:trHeight w:val="1035"/>
        </w:trPr>
        <w:tc>
          <w:tcPr>
            <w:tcW w:w="1100" w:type="dxa"/>
            <w:tcBorders>
              <w:top w:val="double" w:sz="6" w:space="0" w:color="auto"/>
              <w:left w:val="single" w:sz="8" w:space="0" w:color="auto"/>
              <w:bottom w:val="double" w:sz="6" w:space="0" w:color="000000"/>
              <w:right w:val="single" w:sz="4" w:space="0" w:color="auto"/>
            </w:tcBorders>
            <w:shd w:val="clear" w:color="auto" w:fill="8DB3E2" w:themeFill="text2" w:themeFillTint="66"/>
            <w:vAlign w:val="center"/>
          </w:tcPr>
          <w:p w:rsidR="009C7DD9" w:rsidRDefault="009C7DD9">
            <w:pPr>
              <w:jc w:val="center"/>
              <w:rPr>
                <w:rFonts w:ascii="Arial" w:hAnsi="Arial" w:cs="Arial"/>
                <w:sz w:val="20"/>
                <w:szCs w:val="20"/>
              </w:rPr>
            </w:pPr>
            <w:r>
              <w:rPr>
                <w:rFonts w:ascii="Arial" w:hAnsi="Arial" w:cs="Arial"/>
                <w:sz w:val="20"/>
                <w:szCs w:val="20"/>
              </w:rPr>
              <w:t>WI</w:t>
            </w:r>
          </w:p>
        </w:tc>
        <w:tc>
          <w:tcPr>
            <w:tcW w:w="680" w:type="dxa"/>
            <w:tcBorders>
              <w:top w:val="double" w:sz="6" w:space="0" w:color="auto"/>
              <w:left w:val="nil"/>
              <w:bottom w:val="single" w:sz="4" w:space="0" w:color="auto"/>
              <w:right w:val="single" w:sz="4" w:space="0" w:color="auto"/>
            </w:tcBorders>
            <w:shd w:val="clear" w:color="auto" w:fill="8DB3E2" w:themeFill="text2" w:themeFillTint="66"/>
            <w:vAlign w:val="center"/>
          </w:tcPr>
          <w:p w:rsidR="009C7DD9" w:rsidRDefault="009C7DD9">
            <w:pPr>
              <w:jc w:val="center"/>
              <w:rPr>
                <w:rFonts w:ascii="Arial" w:hAnsi="Arial" w:cs="Arial"/>
                <w:sz w:val="20"/>
                <w:szCs w:val="20"/>
              </w:rPr>
            </w:pPr>
            <w:r>
              <w:rPr>
                <w:rFonts w:ascii="Arial" w:hAnsi="Arial" w:cs="Arial"/>
                <w:sz w:val="20"/>
                <w:szCs w:val="20"/>
              </w:rPr>
              <w:t>#</w:t>
            </w:r>
          </w:p>
        </w:tc>
        <w:tc>
          <w:tcPr>
            <w:tcW w:w="2140" w:type="dxa"/>
            <w:tcBorders>
              <w:top w:val="double" w:sz="6" w:space="0" w:color="auto"/>
              <w:left w:val="nil"/>
              <w:bottom w:val="single" w:sz="4" w:space="0" w:color="auto"/>
              <w:right w:val="single" w:sz="4" w:space="0" w:color="auto"/>
            </w:tcBorders>
            <w:shd w:val="clear" w:color="auto" w:fill="8DB3E2" w:themeFill="text2" w:themeFillTint="66"/>
            <w:vAlign w:val="center"/>
          </w:tcPr>
          <w:p w:rsidR="009C7DD9" w:rsidRDefault="009C7DD9">
            <w:pPr>
              <w:jc w:val="center"/>
              <w:rPr>
                <w:rFonts w:ascii="Arial" w:hAnsi="Arial" w:cs="Arial"/>
                <w:sz w:val="20"/>
                <w:szCs w:val="20"/>
              </w:rPr>
            </w:pPr>
            <w:r>
              <w:rPr>
                <w:rFonts w:ascii="Arial" w:hAnsi="Arial" w:cs="Arial"/>
                <w:sz w:val="20"/>
                <w:szCs w:val="20"/>
              </w:rPr>
              <w:t>Feature group</w:t>
            </w:r>
          </w:p>
        </w:tc>
        <w:tc>
          <w:tcPr>
            <w:tcW w:w="3183" w:type="dxa"/>
            <w:tcBorders>
              <w:top w:val="double" w:sz="6" w:space="0" w:color="auto"/>
              <w:left w:val="nil"/>
              <w:bottom w:val="single" w:sz="4" w:space="0" w:color="auto"/>
              <w:right w:val="single" w:sz="4" w:space="0" w:color="auto"/>
            </w:tcBorders>
            <w:shd w:val="clear" w:color="auto" w:fill="8DB3E2" w:themeFill="text2" w:themeFillTint="66"/>
            <w:vAlign w:val="center"/>
          </w:tcPr>
          <w:p w:rsidR="009C7DD9" w:rsidRDefault="009C7DD9">
            <w:pPr>
              <w:jc w:val="center"/>
              <w:rPr>
                <w:rFonts w:ascii="Arial" w:hAnsi="Arial" w:cs="Arial"/>
                <w:sz w:val="20"/>
                <w:szCs w:val="20"/>
              </w:rPr>
            </w:pPr>
            <w:r>
              <w:rPr>
                <w:rFonts w:ascii="Arial" w:hAnsi="Arial" w:cs="Arial"/>
                <w:sz w:val="20"/>
                <w:szCs w:val="20"/>
              </w:rPr>
              <w:t>Components</w:t>
            </w:r>
          </w:p>
        </w:tc>
        <w:tc>
          <w:tcPr>
            <w:tcW w:w="1843" w:type="dxa"/>
            <w:tcBorders>
              <w:top w:val="double" w:sz="6" w:space="0" w:color="auto"/>
              <w:left w:val="nil"/>
              <w:bottom w:val="single" w:sz="4" w:space="0" w:color="auto"/>
              <w:right w:val="single" w:sz="4" w:space="0" w:color="auto"/>
            </w:tcBorders>
            <w:shd w:val="clear" w:color="auto" w:fill="8DB3E2" w:themeFill="text2" w:themeFillTint="66"/>
            <w:vAlign w:val="center"/>
          </w:tcPr>
          <w:p w:rsidR="009C7DD9" w:rsidRDefault="009C7DD9">
            <w:pPr>
              <w:jc w:val="center"/>
              <w:rPr>
                <w:rFonts w:ascii="Arial" w:hAnsi="Arial" w:cs="Arial"/>
                <w:sz w:val="20"/>
                <w:szCs w:val="20"/>
              </w:rPr>
            </w:pPr>
            <w:r>
              <w:rPr>
                <w:rFonts w:ascii="Arial" w:hAnsi="Arial" w:cs="Arial"/>
                <w:sz w:val="20"/>
                <w:szCs w:val="20"/>
              </w:rPr>
              <w:t xml:space="preserve">Prerequisite feature groups </w:t>
            </w:r>
            <w:r>
              <w:rPr>
                <w:rFonts w:ascii="Arial" w:hAnsi="Arial" w:cs="Arial"/>
                <w:sz w:val="20"/>
                <w:szCs w:val="20"/>
              </w:rPr>
              <w:br/>
              <w:t>(listed in this sheet or Rel-8/9/10/11 features)</w:t>
            </w:r>
          </w:p>
        </w:tc>
      </w:tr>
      <w:tr w:rsidR="0016041A" w:rsidRPr="0016041A" w:rsidTr="0016041A">
        <w:trPr>
          <w:trHeight w:val="1035"/>
        </w:trPr>
        <w:tc>
          <w:tcPr>
            <w:tcW w:w="1100" w:type="dxa"/>
            <w:vMerge w:val="restart"/>
            <w:tcBorders>
              <w:top w:val="double" w:sz="6" w:space="0" w:color="auto"/>
              <w:left w:val="single" w:sz="8" w:space="0" w:color="auto"/>
              <w:bottom w:val="double" w:sz="6" w:space="0" w:color="000000"/>
              <w:right w:val="single" w:sz="4" w:space="0" w:color="auto"/>
            </w:tcBorders>
            <w:shd w:val="clear" w:color="auto" w:fill="auto"/>
            <w:hideMark/>
          </w:tcPr>
          <w:p w:rsidR="0016041A" w:rsidRPr="0016041A" w:rsidRDefault="0016041A" w:rsidP="0016041A">
            <w:pPr>
              <w:rPr>
                <w:rFonts w:ascii="Arial" w:hAnsi="Arial" w:cs="Arial"/>
                <w:sz w:val="20"/>
                <w:szCs w:val="20"/>
              </w:rPr>
            </w:pPr>
            <w:r w:rsidRPr="0016041A">
              <w:rPr>
                <w:rFonts w:ascii="Arial" w:hAnsi="Arial" w:cs="Arial"/>
                <w:sz w:val="20"/>
                <w:szCs w:val="20"/>
              </w:rPr>
              <w:lastRenderedPageBreak/>
              <w:t>4. D2D</w:t>
            </w:r>
          </w:p>
        </w:tc>
        <w:tc>
          <w:tcPr>
            <w:tcW w:w="680" w:type="dxa"/>
            <w:tcBorders>
              <w:top w:val="double" w:sz="6" w:space="0" w:color="auto"/>
              <w:left w:val="nil"/>
              <w:bottom w:val="single" w:sz="4" w:space="0" w:color="auto"/>
              <w:right w:val="single" w:sz="4" w:space="0" w:color="auto"/>
            </w:tcBorders>
            <w:shd w:val="clear" w:color="auto" w:fill="auto"/>
            <w:hideMark/>
          </w:tcPr>
          <w:p w:rsidR="0016041A" w:rsidRPr="0016041A" w:rsidRDefault="0016041A" w:rsidP="0016041A">
            <w:pPr>
              <w:rPr>
                <w:rFonts w:ascii="Arial" w:hAnsi="Arial" w:cs="Arial"/>
                <w:sz w:val="20"/>
                <w:szCs w:val="20"/>
              </w:rPr>
            </w:pPr>
            <w:r w:rsidRPr="0016041A">
              <w:rPr>
                <w:rFonts w:ascii="Arial" w:hAnsi="Arial" w:cs="Arial"/>
                <w:sz w:val="20"/>
                <w:szCs w:val="20"/>
              </w:rPr>
              <w:t>4-1</w:t>
            </w:r>
          </w:p>
        </w:tc>
        <w:tc>
          <w:tcPr>
            <w:tcW w:w="2140" w:type="dxa"/>
            <w:tcBorders>
              <w:top w:val="double" w:sz="6" w:space="0" w:color="auto"/>
              <w:left w:val="nil"/>
              <w:bottom w:val="single" w:sz="4" w:space="0" w:color="auto"/>
              <w:right w:val="single" w:sz="4" w:space="0" w:color="auto"/>
            </w:tcBorders>
            <w:shd w:val="clear" w:color="auto" w:fill="auto"/>
            <w:hideMark/>
          </w:tcPr>
          <w:p w:rsidR="0016041A" w:rsidRPr="0016041A" w:rsidRDefault="0016041A" w:rsidP="0016041A">
            <w:pPr>
              <w:rPr>
                <w:rFonts w:ascii="Arial" w:hAnsi="Arial" w:cs="Arial"/>
                <w:sz w:val="20"/>
                <w:szCs w:val="20"/>
              </w:rPr>
            </w:pPr>
            <w:r w:rsidRPr="0016041A">
              <w:rPr>
                <w:rFonts w:ascii="Arial" w:hAnsi="Arial" w:cs="Arial"/>
                <w:sz w:val="20"/>
                <w:szCs w:val="20"/>
              </w:rPr>
              <w:t>[FFS] D2D  communication</w:t>
            </w:r>
          </w:p>
        </w:tc>
        <w:tc>
          <w:tcPr>
            <w:tcW w:w="3183" w:type="dxa"/>
            <w:tcBorders>
              <w:top w:val="double" w:sz="6" w:space="0" w:color="auto"/>
              <w:left w:val="nil"/>
              <w:bottom w:val="single" w:sz="4" w:space="0" w:color="auto"/>
              <w:right w:val="single" w:sz="4" w:space="0" w:color="auto"/>
            </w:tcBorders>
            <w:shd w:val="clear" w:color="auto" w:fill="auto"/>
            <w:hideMark/>
          </w:tcPr>
          <w:p w:rsidR="0016041A" w:rsidRPr="0016041A" w:rsidRDefault="0016041A" w:rsidP="0016041A">
            <w:pPr>
              <w:rPr>
                <w:rFonts w:ascii="Arial" w:hAnsi="Arial" w:cs="Arial"/>
                <w:sz w:val="20"/>
                <w:szCs w:val="20"/>
              </w:rPr>
            </w:pPr>
            <w:r w:rsidRPr="0016041A">
              <w:rPr>
                <w:rFonts w:ascii="Arial" w:hAnsi="Arial" w:cs="Arial"/>
                <w:sz w:val="20"/>
                <w:szCs w:val="20"/>
              </w:rPr>
              <w:t>[FFS] 1) Mode 1 resource allocation</w:t>
            </w:r>
            <w:r w:rsidRPr="0016041A">
              <w:rPr>
                <w:rFonts w:ascii="Arial" w:hAnsi="Arial" w:cs="Arial"/>
                <w:sz w:val="20"/>
                <w:szCs w:val="20"/>
              </w:rPr>
              <w:br/>
              <w:t>[FFS] 2) Mode 2 resource allocation</w:t>
            </w:r>
            <w:r w:rsidRPr="0016041A">
              <w:rPr>
                <w:rFonts w:ascii="Arial" w:hAnsi="Arial" w:cs="Arial"/>
                <w:sz w:val="20"/>
                <w:szCs w:val="20"/>
              </w:rPr>
              <w:br/>
              <w:t>[FFS] 3) D2D synchronization procedure</w:t>
            </w:r>
            <w:r w:rsidRPr="0016041A">
              <w:rPr>
                <w:rFonts w:ascii="Arial" w:hAnsi="Arial" w:cs="Arial"/>
                <w:sz w:val="20"/>
                <w:szCs w:val="20"/>
              </w:rPr>
              <w:br/>
              <w:t>[FFS] 4) D2D communication signal transmission and reception</w:t>
            </w:r>
          </w:p>
        </w:tc>
        <w:tc>
          <w:tcPr>
            <w:tcW w:w="1843" w:type="dxa"/>
            <w:tcBorders>
              <w:top w:val="double" w:sz="6" w:space="0" w:color="auto"/>
              <w:left w:val="nil"/>
              <w:bottom w:val="single" w:sz="4" w:space="0" w:color="auto"/>
              <w:right w:val="single" w:sz="4" w:space="0" w:color="auto"/>
            </w:tcBorders>
            <w:shd w:val="clear" w:color="auto" w:fill="auto"/>
            <w:hideMark/>
          </w:tcPr>
          <w:p w:rsidR="0016041A" w:rsidRPr="0016041A" w:rsidRDefault="0016041A" w:rsidP="0016041A">
            <w:pPr>
              <w:rPr>
                <w:rFonts w:ascii="Arial" w:hAnsi="Arial" w:cs="Arial"/>
                <w:sz w:val="20"/>
                <w:szCs w:val="20"/>
              </w:rPr>
            </w:pPr>
            <w:r w:rsidRPr="0016041A">
              <w:rPr>
                <w:rFonts w:ascii="Arial" w:hAnsi="Arial" w:cs="Arial"/>
                <w:sz w:val="20"/>
                <w:szCs w:val="20"/>
              </w:rPr>
              <w:t>None</w:t>
            </w:r>
          </w:p>
        </w:tc>
      </w:tr>
      <w:tr w:rsidR="0016041A" w:rsidRPr="0016041A" w:rsidTr="0016041A">
        <w:trPr>
          <w:trHeight w:val="1020"/>
        </w:trPr>
        <w:tc>
          <w:tcPr>
            <w:tcW w:w="1100" w:type="dxa"/>
            <w:vMerge/>
            <w:tcBorders>
              <w:top w:val="double" w:sz="6" w:space="0" w:color="auto"/>
              <w:left w:val="single" w:sz="8" w:space="0" w:color="auto"/>
              <w:bottom w:val="double" w:sz="6" w:space="0" w:color="000000"/>
              <w:right w:val="single" w:sz="4" w:space="0" w:color="auto"/>
            </w:tcBorders>
            <w:vAlign w:val="center"/>
            <w:hideMark/>
          </w:tcPr>
          <w:p w:rsidR="0016041A" w:rsidRPr="0016041A" w:rsidRDefault="0016041A" w:rsidP="0016041A">
            <w:pPr>
              <w:rPr>
                <w:rFonts w:ascii="Arial" w:hAnsi="Arial" w:cs="Arial"/>
                <w:sz w:val="20"/>
                <w:szCs w:val="20"/>
              </w:rPr>
            </w:pPr>
          </w:p>
        </w:tc>
        <w:tc>
          <w:tcPr>
            <w:tcW w:w="680" w:type="dxa"/>
            <w:tcBorders>
              <w:top w:val="nil"/>
              <w:left w:val="nil"/>
              <w:bottom w:val="single" w:sz="4" w:space="0" w:color="auto"/>
              <w:right w:val="single" w:sz="4" w:space="0" w:color="auto"/>
            </w:tcBorders>
            <w:shd w:val="clear" w:color="auto" w:fill="auto"/>
            <w:hideMark/>
          </w:tcPr>
          <w:p w:rsidR="0016041A" w:rsidRPr="0016041A" w:rsidRDefault="0016041A" w:rsidP="0016041A">
            <w:pPr>
              <w:rPr>
                <w:rFonts w:ascii="Arial" w:hAnsi="Arial" w:cs="Arial"/>
                <w:sz w:val="20"/>
                <w:szCs w:val="20"/>
              </w:rPr>
            </w:pPr>
            <w:r w:rsidRPr="0016041A">
              <w:rPr>
                <w:rFonts w:ascii="Arial" w:hAnsi="Arial" w:cs="Arial"/>
                <w:sz w:val="20"/>
                <w:szCs w:val="20"/>
              </w:rPr>
              <w:t>4-2</w:t>
            </w:r>
          </w:p>
        </w:tc>
        <w:tc>
          <w:tcPr>
            <w:tcW w:w="2140" w:type="dxa"/>
            <w:tcBorders>
              <w:top w:val="nil"/>
              <w:left w:val="nil"/>
              <w:bottom w:val="single" w:sz="4" w:space="0" w:color="auto"/>
              <w:right w:val="single" w:sz="4" w:space="0" w:color="auto"/>
            </w:tcBorders>
            <w:shd w:val="clear" w:color="auto" w:fill="auto"/>
            <w:hideMark/>
          </w:tcPr>
          <w:p w:rsidR="0016041A" w:rsidRPr="0016041A" w:rsidRDefault="0016041A" w:rsidP="0016041A">
            <w:pPr>
              <w:rPr>
                <w:rFonts w:ascii="Arial" w:hAnsi="Arial" w:cs="Arial"/>
                <w:sz w:val="20"/>
                <w:szCs w:val="20"/>
              </w:rPr>
            </w:pPr>
            <w:r w:rsidRPr="0016041A">
              <w:rPr>
                <w:rFonts w:ascii="Arial" w:hAnsi="Arial" w:cs="Arial"/>
                <w:sz w:val="20"/>
                <w:szCs w:val="20"/>
              </w:rPr>
              <w:t>[FFS] D2D discovery</w:t>
            </w:r>
          </w:p>
        </w:tc>
        <w:tc>
          <w:tcPr>
            <w:tcW w:w="3183" w:type="dxa"/>
            <w:tcBorders>
              <w:top w:val="nil"/>
              <w:left w:val="nil"/>
              <w:bottom w:val="single" w:sz="4" w:space="0" w:color="auto"/>
              <w:right w:val="single" w:sz="4" w:space="0" w:color="auto"/>
            </w:tcBorders>
            <w:shd w:val="clear" w:color="auto" w:fill="auto"/>
            <w:hideMark/>
          </w:tcPr>
          <w:p w:rsidR="0016041A" w:rsidRPr="0016041A" w:rsidRDefault="0016041A" w:rsidP="0016041A">
            <w:pPr>
              <w:rPr>
                <w:rFonts w:ascii="Arial" w:hAnsi="Arial" w:cs="Arial"/>
                <w:sz w:val="20"/>
                <w:szCs w:val="20"/>
              </w:rPr>
            </w:pPr>
            <w:r w:rsidRPr="0016041A">
              <w:rPr>
                <w:rFonts w:ascii="Arial" w:hAnsi="Arial" w:cs="Arial"/>
                <w:sz w:val="20"/>
                <w:szCs w:val="20"/>
              </w:rPr>
              <w:t>[FFS] 1) Type 1 resource allocation</w:t>
            </w:r>
            <w:r w:rsidRPr="0016041A">
              <w:rPr>
                <w:rFonts w:ascii="Arial" w:hAnsi="Arial" w:cs="Arial"/>
                <w:sz w:val="20"/>
                <w:szCs w:val="20"/>
              </w:rPr>
              <w:br/>
              <w:t>[FFS] 2) Type 2 resource allocation</w:t>
            </w:r>
            <w:r w:rsidRPr="0016041A">
              <w:rPr>
                <w:rFonts w:ascii="Arial" w:hAnsi="Arial" w:cs="Arial"/>
                <w:sz w:val="20"/>
                <w:szCs w:val="20"/>
              </w:rPr>
              <w:br/>
              <w:t>[FFS] 3) D2D synchronization procedure</w:t>
            </w:r>
            <w:r w:rsidRPr="0016041A">
              <w:rPr>
                <w:rFonts w:ascii="Arial" w:hAnsi="Arial" w:cs="Arial"/>
                <w:sz w:val="20"/>
                <w:szCs w:val="20"/>
              </w:rPr>
              <w:br/>
              <w:t>[FFS] 4) D2D discovery signal transmission and reception</w:t>
            </w:r>
          </w:p>
        </w:tc>
        <w:tc>
          <w:tcPr>
            <w:tcW w:w="1843" w:type="dxa"/>
            <w:tcBorders>
              <w:top w:val="nil"/>
              <w:left w:val="nil"/>
              <w:bottom w:val="single" w:sz="4" w:space="0" w:color="auto"/>
              <w:right w:val="single" w:sz="4" w:space="0" w:color="auto"/>
            </w:tcBorders>
            <w:shd w:val="clear" w:color="auto" w:fill="auto"/>
            <w:hideMark/>
          </w:tcPr>
          <w:p w:rsidR="0016041A" w:rsidRPr="0016041A" w:rsidRDefault="0016041A" w:rsidP="0016041A">
            <w:pPr>
              <w:rPr>
                <w:rFonts w:ascii="Arial" w:hAnsi="Arial" w:cs="Arial"/>
                <w:sz w:val="20"/>
                <w:szCs w:val="20"/>
              </w:rPr>
            </w:pPr>
            <w:r w:rsidRPr="0016041A">
              <w:rPr>
                <w:rFonts w:ascii="Arial" w:hAnsi="Arial" w:cs="Arial"/>
                <w:sz w:val="20"/>
                <w:szCs w:val="20"/>
              </w:rPr>
              <w:t>None</w:t>
            </w:r>
          </w:p>
        </w:tc>
      </w:tr>
      <w:tr w:rsidR="0016041A" w:rsidRPr="0016041A" w:rsidTr="0016041A">
        <w:trPr>
          <w:trHeight w:val="315"/>
        </w:trPr>
        <w:tc>
          <w:tcPr>
            <w:tcW w:w="1100" w:type="dxa"/>
            <w:vMerge/>
            <w:tcBorders>
              <w:top w:val="double" w:sz="6" w:space="0" w:color="auto"/>
              <w:left w:val="single" w:sz="8" w:space="0" w:color="auto"/>
              <w:bottom w:val="double" w:sz="6" w:space="0" w:color="000000"/>
              <w:right w:val="single" w:sz="4" w:space="0" w:color="auto"/>
            </w:tcBorders>
            <w:vAlign w:val="center"/>
            <w:hideMark/>
          </w:tcPr>
          <w:p w:rsidR="0016041A" w:rsidRPr="0016041A" w:rsidRDefault="0016041A" w:rsidP="0016041A">
            <w:pPr>
              <w:rPr>
                <w:rFonts w:ascii="Arial" w:hAnsi="Arial" w:cs="Arial"/>
                <w:sz w:val="20"/>
                <w:szCs w:val="20"/>
              </w:rPr>
            </w:pPr>
          </w:p>
        </w:tc>
        <w:tc>
          <w:tcPr>
            <w:tcW w:w="680" w:type="dxa"/>
            <w:tcBorders>
              <w:top w:val="nil"/>
              <w:left w:val="nil"/>
              <w:bottom w:val="double" w:sz="6" w:space="0" w:color="auto"/>
              <w:right w:val="single" w:sz="4" w:space="0" w:color="auto"/>
            </w:tcBorders>
            <w:shd w:val="clear" w:color="auto" w:fill="auto"/>
            <w:hideMark/>
          </w:tcPr>
          <w:p w:rsidR="0016041A" w:rsidRPr="0016041A" w:rsidRDefault="0016041A" w:rsidP="0016041A">
            <w:pPr>
              <w:rPr>
                <w:rFonts w:ascii="Arial" w:hAnsi="Arial" w:cs="Arial"/>
                <w:sz w:val="20"/>
                <w:szCs w:val="20"/>
              </w:rPr>
            </w:pPr>
            <w:r w:rsidRPr="0016041A">
              <w:rPr>
                <w:rFonts w:ascii="Arial" w:hAnsi="Arial" w:cs="Arial"/>
                <w:sz w:val="20"/>
                <w:szCs w:val="20"/>
              </w:rPr>
              <w:t>4-3</w:t>
            </w:r>
          </w:p>
        </w:tc>
        <w:tc>
          <w:tcPr>
            <w:tcW w:w="2140" w:type="dxa"/>
            <w:tcBorders>
              <w:top w:val="nil"/>
              <w:left w:val="nil"/>
              <w:bottom w:val="double" w:sz="6" w:space="0" w:color="auto"/>
              <w:right w:val="single" w:sz="4" w:space="0" w:color="auto"/>
            </w:tcBorders>
            <w:shd w:val="clear" w:color="auto" w:fill="auto"/>
            <w:hideMark/>
          </w:tcPr>
          <w:p w:rsidR="0016041A" w:rsidRPr="0016041A" w:rsidRDefault="0016041A" w:rsidP="0016041A">
            <w:pPr>
              <w:rPr>
                <w:rFonts w:ascii="Arial" w:hAnsi="Arial" w:cs="Arial"/>
                <w:sz w:val="20"/>
                <w:szCs w:val="20"/>
              </w:rPr>
            </w:pPr>
            <w:r w:rsidRPr="0016041A">
              <w:rPr>
                <w:rFonts w:ascii="Arial" w:hAnsi="Arial" w:cs="Arial"/>
                <w:sz w:val="20"/>
                <w:szCs w:val="20"/>
              </w:rPr>
              <w:t> </w:t>
            </w:r>
          </w:p>
        </w:tc>
        <w:tc>
          <w:tcPr>
            <w:tcW w:w="3183" w:type="dxa"/>
            <w:tcBorders>
              <w:top w:val="nil"/>
              <w:left w:val="nil"/>
              <w:bottom w:val="double" w:sz="6" w:space="0" w:color="auto"/>
              <w:right w:val="single" w:sz="4" w:space="0" w:color="auto"/>
            </w:tcBorders>
            <w:shd w:val="clear" w:color="auto" w:fill="auto"/>
            <w:hideMark/>
          </w:tcPr>
          <w:p w:rsidR="0016041A" w:rsidRPr="0016041A" w:rsidRDefault="0016041A" w:rsidP="0016041A">
            <w:pPr>
              <w:rPr>
                <w:rFonts w:ascii="Arial" w:hAnsi="Arial" w:cs="Arial"/>
                <w:sz w:val="20"/>
                <w:szCs w:val="20"/>
              </w:rPr>
            </w:pPr>
            <w:r w:rsidRPr="0016041A">
              <w:rPr>
                <w:rFonts w:ascii="Arial" w:hAnsi="Arial" w:cs="Arial"/>
                <w:sz w:val="20"/>
                <w:szCs w:val="20"/>
              </w:rPr>
              <w:t> </w:t>
            </w:r>
          </w:p>
        </w:tc>
        <w:tc>
          <w:tcPr>
            <w:tcW w:w="1843" w:type="dxa"/>
            <w:tcBorders>
              <w:top w:val="nil"/>
              <w:left w:val="nil"/>
              <w:bottom w:val="double" w:sz="6" w:space="0" w:color="auto"/>
              <w:right w:val="single" w:sz="4" w:space="0" w:color="auto"/>
            </w:tcBorders>
            <w:shd w:val="clear" w:color="auto" w:fill="auto"/>
            <w:hideMark/>
          </w:tcPr>
          <w:p w:rsidR="0016041A" w:rsidRPr="0016041A" w:rsidRDefault="0016041A" w:rsidP="0016041A">
            <w:pPr>
              <w:rPr>
                <w:rFonts w:ascii="Arial" w:hAnsi="Arial" w:cs="Arial"/>
                <w:sz w:val="20"/>
                <w:szCs w:val="20"/>
              </w:rPr>
            </w:pPr>
            <w:r w:rsidRPr="0016041A">
              <w:rPr>
                <w:rFonts w:ascii="Arial" w:hAnsi="Arial" w:cs="Arial"/>
                <w:sz w:val="20"/>
                <w:szCs w:val="20"/>
              </w:rPr>
              <w:t> </w:t>
            </w:r>
          </w:p>
        </w:tc>
      </w:tr>
    </w:tbl>
    <w:p w:rsidR="00C95E79" w:rsidRDefault="00C95E79" w:rsidP="00F64177">
      <w:pPr>
        <w:pStyle w:val="BodyText"/>
      </w:pPr>
    </w:p>
    <w:p w:rsidR="009C7DD9" w:rsidRDefault="009C7DD9" w:rsidP="00F64177">
      <w:pPr>
        <w:pStyle w:val="BodyText"/>
      </w:pPr>
      <w:r>
        <w:t>The ProSe feature is based on the basic features communication and discovery. When the UE is operating either of the two features there is a need for the UE to support multiple different operational scenarios at once as the UE can either be in</w:t>
      </w:r>
      <w:r w:rsidR="004877F4">
        <w:t>-, partial-</w:t>
      </w:r>
      <w:r>
        <w:t xml:space="preserve"> or out</w:t>
      </w:r>
      <w:r w:rsidR="00E5791A">
        <w:t>-</w:t>
      </w:r>
      <w:r>
        <w:t xml:space="preserve">coverage. </w:t>
      </w:r>
      <w:r w:rsidR="004877F4">
        <w:t>F</w:t>
      </w:r>
      <w:r>
        <w:t xml:space="preserve">or communication there is need for the UE to supported </w:t>
      </w:r>
      <w:r w:rsidR="004877F4">
        <w:t xml:space="preserve">resource allocation </w:t>
      </w:r>
      <w:r>
        <w:t xml:space="preserve">mode 1 and 2 to be able to operate in both, in, partial and out of coverage scenario. Further it follows naturally that </w:t>
      </w:r>
      <w:r w:rsidR="004877F4">
        <w:t>for</w:t>
      </w:r>
      <w:r>
        <w:t xml:space="preserve"> communication and the </w:t>
      </w:r>
      <w:r w:rsidR="004877F4">
        <w:t xml:space="preserve">UE needs to support the associated </w:t>
      </w:r>
      <w:r>
        <w:t>synchronization procedure</w:t>
      </w:r>
      <w:r w:rsidR="004877F4">
        <w:t xml:space="preserve"> together with the actual communication and reception of signals</w:t>
      </w:r>
      <w:r>
        <w:t>.</w:t>
      </w:r>
    </w:p>
    <w:p w:rsidR="009C7DD9" w:rsidRDefault="009C7DD9" w:rsidP="00F64177">
      <w:pPr>
        <w:pStyle w:val="BodyText"/>
      </w:pPr>
      <w:r>
        <w:t xml:space="preserve">For the discovery design, we see that the UE needs to support both </w:t>
      </w:r>
      <w:r w:rsidR="00CA6E09">
        <w:t>type-1 and type-2</w:t>
      </w:r>
      <w:r>
        <w:t xml:space="preserve"> resource allocation</w:t>
      </w:r>
      <w:r w:rsidR="00F45320">
        <w:t xml:space="preserve"> following </w:t>
      </w:r>
      <w:r w:rsidR="00CA6E09">
        <w:t xml:space="preserve">the </w:t>
      </w:r>
      <w:r w:rsidR="00F45320">
        <w:t>same reasoning as for communication</w:t>
      </w:r>
      <w:r>
        <w:t>.</w:t>
      </w:r>
      <w:r w:rsidR="00F45320" w:rsidDel="00F45320">
        <w:t xml:space="preserve"> </w:t>
      </w:r>
    </w:p>
    <w:p w:rsidR="009C7DD9" w:rsidRDefault="009C7DD9" w:rsidP="00F64177">
      <w:pPr>
        <w:pStyle w:val="BodyText"/>
      </w:pPr>
      <w:r>
        <w:t>Based on the above discussion we propose the following capability design for ProSe:</w:t>
      </w:r>
    </w:p>
    <w:tbl>
      <w:tblPr>
        <w:tblW w:w="8946" w:type="dxa"/>
        <w:tblInd w:w="93" w:type="dxa"/>
        <w:tblLook w:val="04A0" w:firstRow="1" w:lastRow="0" w:firstColumn="1" w:lastColumn="0" w:noHBand="0" w:noVBand="1"/>
      </w:tblPr>
      <w:tblGrid>
        <w:gridCol w:w="1100"/>
        <w:gridCol w:w="680"/>
        <w:gridCol w:w="2140"/>
        <w:gridCol w:w="3183"/>
        <w:gridCol w:w="1843"/>
      </w:tblGrid>
      <w:tr w:rsidR="009C7DD9" w:rsidTr="00527E84">
        <w:trPr>
          <w:trHeight w:val="1035"/>
        </w:trPr>
        <w:tc>
          <w:tcPr>
            <w:tcW w:w="1100" w:type="dxa"/>
            <w:tcBorders>
              <w:top w:val="double" w:sz="6" w:space="0" w:color="auto"/>
              <w:left w:val="single" w:sz="8" w:space="0" w:color="auto"/>
              <w:bottom w:val="double" w:sz="6" w:space="0" w:color="000000"/>
              <w:right w:val="single" w:sz="4" w:space="0" w:color="auto"/>
            </w:tcBorders>
            <w:shd w:val="clear" w:color="auto" w:fill="8DB3E2" w:themeFill="text2" w:themeFillTint="66"/>
            <w:vAlign w:val="center"/>
          </w:tcPr>
          <w:p w:rsidR="009C7DD9" w:rsidRDefault="009C7DD9" w:rsidP="00527E84">
            <w:pPr>
              <w:jc w:val="center"/>
              <w:rPr>
                <w:rFonts w:ascii="Arial" w:hAnsi="Arial" w:cs="Arial"/>
                <w:sz w:val="20"/>
                <w:szCs w:val="20"/>
              </w:rPr>
            </w:pPr>
            <w:r>
              <w:rPr>
                <w:rFonts w:ascii="Arial" w:hAnsi="Arial" w:cs="Arial"/>
                <w:sz w:val="20"/>
                <w:szCs w:val="20"/>
              </w:rPr>
              <w:t>WI</w:t>
            </w:r>
          </w:p>
        </w:tc>
        <w:tc>
          <w:tcPr>
            <w:tcW w:w="680" w:type="dxa"/>
            <w:tcBorders>
              <w:top w:val="double" w:sz="6" w:space="0" w:color="auto"/>
              <w:left w:val="nil"/>
              <w:bottom w:val="single" w:sz="4" w:space="0" w:color="auto"/>
              <w:right w:val="single" w:sz="4" w:space="0" w:color="auto"/>
            </w:tcBorders>
            <w:shd w:val="clear" w:color="auto" w:fill="8DB3E2" w:themeFill="text2" w:themeFillTint="66"/>
            <w:vAlign w:val="center"/>
          </w:tcPr>
          <w:p w:rsidR="009C7DD9" w:rsidRDefault="009C7DD9" w:rsidP="00527E84">
            <w:pPr>
              <w:jc w:val="center"/>
              <w:rPr>
                <w:rFonts w:ascii="Arial" w:hAnsi="Arial" w:cs="Arial"/>
                <w:sz w:val="20"/>
                <w:szCs w:val="20"/>
              </w:rPr>
            </w:pPr>
            <w:r>
              <w:rPr>
                <w:rFonts w:ascii="Arial" w:hAnsi="Arial" w:cs="Arial"/>
                <w:sz w:val="20"/>
                <w:szCs w:val="20"/>
              </w:rPr>
              <w:t>#</w:t>
            </w:r>
          </w:p>
        </w:tc>
        <w:tc>
          <w:tcPr>
            <w:tcW w:w="2140" w:type="dxa"/>
            <w:tcBorders>
              <w:top w:val="double" w:sz="6" w:space="0" w:color="auto"/>
              <w:left w:val="nil"/>
              <w:bottom w:val="single" w:sz="4" w:space="0" w:color="auto"/>
              <w:right w:val="single" w:sz="4" w:space="0" w:color="auto"/>
            </w:tcBorders>
            <w:shd w:val="clear" w:color="auto" w:fill="8DB3E2" w:themeFill="text2" w:themeFillTint="66"/>
            <w:vAlign w:val="center"/>
          </w:tcPr>
          <w:p w:rsidR="009C7DD9" w:rsidRDefault="009C7DD9" w:rsidP="00527E84">
            <w:pPr>
              <w:jc w:val="center"/>
              <w:rPr>
                <w:rFonts w:ascii="Arial" w:hAnsi="Arial" w:cs="Arial"/>
                <w:sz w:val="20"/>
                <w:szCs w:val="20"/>
              </w:rPr>
            </w:pPr>
            <w:r>
              <w:rPr>
                <w:rFonts w:ascii="Arial" w:hAnsi="Arial" w:cs="Arial"/>
                <w:sz w:val="20"/>
                <w:szCs w:val="20"/>
              </w:rPr>
              <w:t>Feature group</w:t>
            </w:r>
          </w:p>
        </w:tc>
        <w:tc>
          <w:tcPr>
            <w:tcW w:w="3183" w:type="dxa"/>
            <w:tcBorders>
              <w:top w:val="double" w:sz="6" w:space="0" w:color="auto"/>
              <w:left w:val="nil"/>
              <w:bottom w:val="single" w:sz="4" w:space="0" w:color="auto"/>
              <w:right w:val="single" w:sz="4" w:space="0" w:color="auto"/>
            </w:tcBorders>
            <w:shd w:val="clear" w:color="auto" w:fill="8DB3E2" w:themeFill="text2" w:themeFillTint="66"/>
            <w:vAlign w:val="center"/>
          </w:tcPr>
          <w:p w:rsidR="009C7DD9" w:rsidRDefault="009C7DD9" w:rsidP="00527E84">
            <w:pPr>
              <w:jc w:val="center"/>
              <w:rPr>
                <w:rFonts w:ascii="Arial" w:hAnsi="Arial" w:cs="Arial"/>
                <w:sz w:val="20"/>
                <w:szCs w:val="20"/>
              </w:rPr>
            </w:pPr>
            <w:r>
              <w:rPr>
                <w:rFonts w:ascii="Arial" w:hAnsi="Arial" w:cs="Arial"/>
                <w:sz w:val="20"/>
                <w:szCs w:val="20"/>
              </w:rPr>
              <w:t>Components</w:t>
            </w:r>
          </w:p>
        </w:tc>
        <w:tc>
          <w:tcPr>
            <w:tcW w:w="1843" w:type="dxa"/>
            <w:tcBorders>
              <w:top w:val="double" w:sz="6" w:space="0" w:color="auto"/>
              <w:left w:val="nil"/>
              <w:bottom w:val="single" w:sz="4" w:space="0" w:color="auto"/>
              <w:right w:val="single" w:sz="4" w:space="0" w:color="auto"/>
            </w:tcBorders>
            <w:shd w:val="clear" w:color="auto" w:fill="8DB3E2" w:themeFill="text2" w:themeFillTint="66"/>
            <w:vAlign w:val="center"/>
          </w:tcPr>
          <w:p w:rsidR="009C7DD9" w:rsidRDefault="009C7DD9" w:rsidP="00527E84">
            <w:pPr>
              <w:jc w:val="center"/>
              <w:rPr>
                <w:rFonts w:ascii="Arial" w:hAnsi="Arial" w:cs="Arial"/>
                <w:sz w:val="20"/>
                <w:szCs w:val="20"/>
              </w:rPr>
            </w:pPr>
            <w:r>
              <w:rPr>
                <w:rFonts w:ascii="Arial" w:hAnsi="Arial" w:cs="Arial"/>
                <w:sz w:val="20"/>
                <w:szCs w:val="20"/>
              </w:rPr>
              <w:t xml:space="preserve">Prerequisite feature groups </w:t>
            </w:r>
            <w:r>
              <w:rPr>
                <w:rFonts w:ascii="Arial" w:hAnsi="Arial" w:cs="Arial"/>
                <w:sz w:val="20"/>
                <w:szCs w:val="20"/>
              </w:rPr>
              <w:br/>
              <w:t>(listed in this sheet or Rel-8/9/10/11 features)</w:t>
            </w:r>
          </w:p>
        </w:tc>
      </w:tr>
      <w:tr w:rsidR="00C603D8" w:rsidRPr="0016041A" w:rsidTr="0082074D">
        <w:trPr>
          <w:trHeight w:val="1035"/>
        </w:trPr>
        <w:tc>
          <w:tcPr>
            <w:tcW w:w="1100" w:type="dxa"/>
            <w:vMerge w:val="restart"/>
            <w:tcBorders>
              <w:top w:val="double" w:sz="6" w:space="0" w:color="auto"/>
              <w:left w:val="single" w:sz="8" w:space="0" w:color="auto"/>
              <w:right w:val="single" w:sz="4" w:space="0" w:color="auto"/>
            </w:tcBorders>
            <w:shd w:val="clear" w:color="auto" w:fill="auto"/>
            <w:hideMark/>
          </w:tcPr>
          <w:p w:rsidR="00C603D8" w:rsidRPr="0016041A" w:rsidRDefault="00C603D8">
            <w:pPr>
              <w:rPr>
                <w:rFonts w:ascii="Arial" w:hAnsi="Arial" w:cs="Arial"/>
                <w:sz w:val="20"/>
                <w:szCs w:val="20"/>
              </w:rPr>
            </w:pPr>
            <w:r w:rsidRPr="0016041A">
              <w:rPr>
                <w:rFonts w:ascii="Arial" w:hAnsi="Arial" w:cs="Arial"/>
                <w:sz w:val="20"/>
                <w:szCs w:val="20"/>
              </w:rPr>
              <w:t xml:space="preserve">4. </w:t>
            </w:r>
            <w:r w:rsidR="002335B8">
              <w:rPr>
                <w:rFonts w:ascii="Arial" w:hAnsi="Arial" w:cs="Arial"/>
                <w:sz w:val="20"/>
                <w:szCs w:val="20"/>
              </w:rPr>
              <w:t>ProSe</w:t>
            </w:r>
          </w:p>
        </w:tc>
        <w:tc>
          <w:tcPr>
            <w:tcW w:w="680" w:type="dxa"/>
            <w:tcBorders>
              <w:top w:val="double" w:sz="6" w:space="0" w:color="auto"/>
              <w:left w:val="nil"/>
              <w:bottom w:val="single" w:sz="4" w:space="0" w:color="auto"/>
              <w:right w:val="single" w:sz="4" w:space="0" w:color="auto"/>
            </w:tcBorders>
            <w:shd w:val="clear" w:color="auto" w:fill="auto"/>
            <w:hideMark/>
          </w:tcPr>
          <w:p w:rsidR="00C603D8" w:rsidRPr="0016041A" w:rsidRDefault="00C603D8" w:rsidP="00527E84">
            <w:pPr>
              <w:rPr>
                <w:rFonts w:ascii="Arial" w:hAnsi="Arial" w:cs="Arial"/>
                <w:sz w:val="20"/>
                <w:szCs w:val="20"/>
              </w:rPr>
            </w:pPr>
            <w:r w:rsidRPr="0016041A">
              <w:rPr>
                <w:rFonts w:ascii="Arial" w:hAnsi="Arial" w:cs="Arial"/>
                <w:sz w:val="20"/>
                <w:szCs w:val="20"/>
              </w:rPr>
              <w:t>4-1</w:t>
            </w:r>
          </w:p>
        </w:tc>
        <w:tc>
          <w:tcPr>
            <w:tcW w:w="2140" w:type="dxa"/>
            <w:tcBorders>
              <w:top w:val="double" w:sz="6" w:space="0" w:color="auto"/>
              <w:left w:val="nil"/>
              <w:bottom w:val="single" w:sz="4" w:space="0" w:color="auto"/>
              <w:right w:val="single" w:sz="4" w:space="0" w:color="auto"/>
            </w:tcBorders>
            <w:shd w:val="clear" w:color="auto" w:fill="auto"/>
            <w:hideMark/>
          </w:tcPr>
          <w:p w:rsidR="00C603D8" w:rsidRPr="0016041A" w:rsidRDefault="00C603D8" w:rsidP="00527E84">
            <w:pPr>
              <w:rPr>
                <w:rFonts w:ascii="Arial" w:hAnsi="Arial" w:cs="Arial"/>
                <w:sz w:val="20"/>
                <w:szCs w:val="20"/>
              </w:rPr>
            </w:pPr>
            <w:r>
              <w:rPr>
                <w:rFonts w:ascii="Arial" w:hAnsi="Arial" w:cs="Arial"/>
                <w:sz w:val="20"/>
                <w:szCs w:val="20"/>
              </w:rPr>
              <w:t>ProSe</w:t>
            </w:r>
            <w:r w:rsidRPr="0016041A">
              <w:rPr>
                <w:rFonts w:ascii="Arial" w:hAnsi="Arial" w:cs="Arial"/>
                <w:sz w:val="20"/>
                <w:szCs w:val="20"/>
              </w:rPr>
              <w:t xml:space="preserve">  communication</w:t>
            </w:r>
          </w:p>
        </w:tc>
        <w:tc>
          <w:tcPr>
            <w:tcW w:w="3183" w:type="dxa"/>
            <w:tcBorders>
              <w:top w:val="double" w:sz="6" w:space="0" w:color="auto"/>
              <w:left w:val="nil"/>
              <w:bottom w:val="single" w:sz="4" w:space="0" w:color="auto"/>
              <w:right w:val="single" w:sz="4" w:space="0" w:color="auto"/>
            </w:tcBorders>
            <w:shd w:val="clear" w:color="auto" w:fill="auto"/>
            <w:hideMark/>
          </w:tcPr>
          <w:p w:rsidR="00C603D8" w:rsidRPr="0016041A" w:rsidRDefault="00C603D8" w:rsidP="00C603D8">
            <w:pPr>
              <w:rPr>
                <w:rFonts w:ascii="Arial" w:hAnsi="Arial" w:cs="Arial"/>
                <w:sz w:val="20"/>
                <w:szCs w:val="20"/>
              </w:rPr>
            </w:pPr>
            <w:r w:rsidRPr="0016041A">
              <w:rPr>
                <w:rFonts w:ascii="Arial" w:hAnsi="Arial" w:cs="Arial"/>
                <w:sz w:val="20"/>
                <w:szCs w:val="20"/>
              </w:rPr>
              <w:t>1) Mode 1 resource allocation</w:t>
            </w:r>
            <w:r w:rsidRPr="0016041A">
              <w:rPr>
                <w:rFonts w:ascii="Arial" w:hAnsi="Arial" w:cs="Arial"/>
                <w:sz w:val="20"/>
                <w:szCs w:val="20"/>
              </w:rPr>
              <w:br/>
              <w:t>2) Mode 2 resource allocation</w:t>
            </w:r>
            <w:r w:rsidRPr="0016041A">
              <w:rPr>
                <w:rFonts w:ascii="Arial" w:hAnsi="Arial" w:cs="Arial"/>
                <w:sz w:val="20"/>
                <w:szCs w:val="20"/>
              </w:rPr>
              <w:br/>
              <w:t xml:space="preserve">3) </w:t>
            </w:r>
            <w:r>
              <w:rPr>
                <w:rFonts w:ascii="Arial" w:hAnsi="Arial" w:cs="Arial"/>
                <w:sz w:val="20"/>
                <w:szCs w:val="20"/>
              </w:rPr>
              <w:t>ProSe</w:t>
            </w:r>
            <w:r w:rsidRPr="0016041A">
              <w:rPr>
                <w:rFonts w:ascii="Arial" w:hAnsi="Arial" w:cs="Arial"/>
                <w:sz w:val="20"/>
                <w:szCs w:val="20"/>
              </w:rPr>
              <w:t xml:space="preserve"> synchronization procedure</w:t>
            </w:r>
            <w:r w:rsidRPr="0016041A">
              <w:rPr>
                <w:rFonts w:ascii="Arial" w:hAnsi="Arial" w:cs="Arial"/>
                <w:sz w:val="20"/>
                <w:szCs w:val="20"/>
              </w:rPr>
              <w:br/>
            </w:r>
            <w:r>
              <w:rPr>
                <w:rFonts w:ascii="Arial" w:hAnsi="Arial" w:cs="Arial"/>
                <w:sz w:val="20"/>
                <w:szCs w:val="20"/>
              </w:rPr>
              <w:t>4) ProSe</w:t>
            </w:r>
            <w:r w:rsidRPr="0016041A">
              <w:rPr>
                <w:rFonts w:ascii="Arial" w:hAnsi="Arial" w:cs="Arial"/>
                <w:sz w:val="20"/>
                <w:szCs w:val="20"/>
              </w:rPr>
              <w:t xml:space="preserve"> communication signal transmission and reception</w:t>
            </w:r>
          </w:p>
        </w:tc>
        <w:tc>
          <w:tcPr>
            <w:tcW w:w="1843" w:type="dxa"/>
            <w:tcBorders>
              <w:top w:val="double" w:sz="6" w:space="0" w:color="auto"/>
              <w:left w:val="nil"/>
              <w:bottom w:val="single" w:sz="4" w:space="0" w:color="auto"/>
              <w:right w:val="single" w:sz="4" w:space="0" w:color="auto"/>
            </w:tcBorders>
            <w:shd w:val="clear" w:color="auto" w:fill="auto"/>
            <w:hideMark/>
          </w:tcPr>
          <w:p w:rsidR="00C603D8" w:rsidRPr="0016041A" w:rsidRDefault="00C603D8" w:rsidP="00527E84">
            <w:pPr>
              <w:rPr>
                <w:rFonts w:ascii="Arial" w:hAnsi="Arial" w:cs="Arial"/>
                <w:sz w:val="20"/>
                <w:szCs w:val="20"/>
              </w:rPr>
            </w:pPr>
            <w:r w:rsidRPr="0016041A">
              <w:rPr>
                <w:rFonts w:ascii="Arial" w:hAnsi="Arial" w:cs="Arial"/>
                <w:sz w:val="20"/>
                <w:szCs w:val="20"/>
              </w:rPr>
              <w:t>None</w:t>
            </w:r>
          </w:p>
        </w:tc>
      </w:tr>
      <w:tr w:rsidR="00C603D8" w:rsidRPr="0016041A" w:rsidTr="00AB7A0C">
        <w:trPr>
          <w:trHeight w:val="1020"/>
        </w:trPr>
        <w:tc>
          <w:tcPr>
            <w:tcW w:w="1100" w:type="dxa"/>
            <w:vMerge/>
            <w:tcBorders>
              <w:left w:val="single" w:sz="8" w:space="0" w:color="auto"/>
              <w:bottom w:val="single" w:sz="4" w:space="0" w:color="auto"/>
              <w:right w:val="single" w:sz="4" w:space="0" w:color="auto"/>
            </w:tcBorders>
            <w:vAlign w:val="center"/>
            <w:hideMark/>
          </w:tcPr>
          <w:p w:rsidR="00C603D8" w:rsidRPr="0016041A" w:rsidRDefault="00C603D8" w:rsidP="00527E84">
            <w:pPr>
              <w:rPr>
                <w:rFonts w:ascii="Arial" w:hAnsi="Arial" w:cs="Arial"/>
                <w:sz w:val="20"/>
                <w:szCs w:val="20"/>
              </w:rPr>
            </w:pPr>
          </w:p>
        </w:tc>
        <w:tc>
          <w:tcPr>
            <w:tcW w:w="680" w:type="dxa"/>
            <w:tcBorders>
              <w:top w:val="nil"/>
              <w:left w:val="nil"/>
              <w:bottom w:val="single" w:sz="4" w:space="0" w:color="auto"/>
              <w:right w:val="single" w:sz="4" w:space="0" w:color="auto"/>
            </w:tcBorders>
            <w:shd w:val="clear" w:color="auto" w:fill="auto"/>
            <w:hideMark/>
          </w:tcPr>
          <w:p w:rsidR="00C603D8" w:rsidRPr="0016041A" w:rsidRDefault="00C603D8" w:rsidP="00527E84">
            <w:pPr>
              <w:rPr>
                <w:rFonts w:ascii="Arial" w:hAnsi="Arial" w:cs="Arial"/>
                <w:sz w:val="20"/>
                <w:szCs w:val="20"/>
              </w:rPr>
            </w:pPr>
            <w:r w:rsidRPr="0016041A">
              <w:rPr>
                <w:rFonts w:ascii="Arial" w:hAnsi="Arial" w:cs="Arial"/>
                <w:sz w:val="20"/>
                <w:szCs w:val="20"/>
              </w:rPr>
              <w:t>4-2</w:t>
            </w:r>
          </w:p>
        </w:tc>
        <w:tc>
          <w:tcPr>
            <w:tcW w:w="2140" w:type="dxa"/>
            <w:tcBorders>
              <w:top w:val="nil"/>
              <w:left w:val="nil"/>
              <w:bottom w:val="single" w:sz="4" w:space="0" w:color="auto"/>
              <w:right w:val="single" w:sz="4" w:space="0" w:color="auto"/>
            </w:tcBorders>
            <w:shd w:val="clear" w:color="auto" w:fill="auto"/>
            <w:hideMark/>
          </w:tcPr>
          <w:p w:rsidR="00C603D8" w:rsidRPr="0016041A" w:rsidRDefault="00C603D8" w:rsidP="00C603D8">
            <w:pPr>
              <w:rPr>
                <w:rFonts w:ascii="Arial" w:hAnsi="Arial" w:cs="Arial"/>
                <w:sz w:val="20"/>
                <w:szCs w:val="20"/>
              </w:rPr>
            </w:pPr>
            <w:r>
              <w:rPr>
                <w:rFonts w:ascii="Arial" w:hAnsi="Arial" w:cs="Arial"/>
                <w:sz w:val="20"/>
                <w:szCs w:val="20"/>
              </w:rPr>
              <w:t>ProSe</w:t>
            </w:r>
            <w:r w:rsidRPr="0016041A">
              <w:rPr>
                <w:rFonts w:ascii="Arial" w:hAnsi="Arial" w:cs="Arial"/>
                <w:sz w:val="20"/>
                <w:szCs w:val="20"/>
              </w:rPr>
              <w:t xml:space="preserve"> discovery</w:t>
            </w:r>
          </w:p>
        </w:tc>
        <w:tc>
          <w:tcPr>
            <w:tcW w:w="3183" w:type="dxa"/>
            <w:tcBorders>
              <w:top w:val="nil"/>
              <w:left w:val="nil"/>
              <w:bottom w:val="single" w:sz="4" w:space="0" w:color="auto"/>
              <w:right w:val="single" w:sz="4" w:space="0" w:color="auto"/>
            </w:tcBorders>
            <w:shd w:val="clear" w:color="auto" w:fill="auto"/>
            <w:hideMark/>
          </w:tcPr>
          <w:p w:rsidR="00F45320" w:rsidRPr="00AB7A0C" w:rsidRDefault="002335B8">
            <w:pPr>
              <w:rPr>
                <w:rFonts w:ascii="Arial" w:hAnsi="Arial" w:cs="Arial"/>
                <w:sz w:val="20"/>
                <w:szCs w:val="20"/>
              </w:rPr>
            </w:pPr>
            <w:r>
              <w:rPr>
                <w:rFonts w:ascii="Arial" w:hAnsi="Arial" w:cs="Arial"/>
                <w:sz w:val="20"/>
                <w:szCs w:val="20"/>
              </w:rPr>
              <w:t xml:space="preserve">1) </w:t>
            </w:r>
            <w:r w:rsidR="00F45320" w:rsidRPr="00AB7A0C">
              <w:rPr>
                <w:rFonts w:ascii="Arial" w:hAnsi="Arial" w:cs="Arial"/>
                <w:sz w:val="20"/>
                <w:szCs w:val="20"/>
              </w:rPr>
              <w:t>ProSe discovey type 2 resource allocation</w:t>
            </w:r>
          </w:p>
          <w:p w:rsidR="00F45320" w:rsidRDefault="00F45320" w:rsidP="00C603D8">
            <w:pPr>
              <w:rPr>
                <w:rFonts w:ascii="Arial" w:hAnsi="Arial" w:cs="Arial"/>
                <w:sz w:val="20"/>
                <w:szCs w:val="20"/>
              </w:rPr>
            </w:pPr>
            <w:r>
              <w:rPr>
                <w:rFonts w:ascii="Arial" w:hAnsi="Arial" w:cs="Arial"/>
                <w:sz w:val="20"/>
                <w:szCs w:val="20"/>
              </w:rPr>
              <w:t>2) ProSe discovey type 1 resource allocation</w:t>
            </w:r>
          </w:p>
          <w:p w:rsidR="00C603D8" w:rsidRPr="0016041A" w:rsidRDefault="00F45320" w:rsidP="00C603D8">
            <w:pPr>
              <w:rPr>
                <w:rFonts w:ascii="Arial" w:hAnsi="Arial" w:cs="Arial"/>
                <w:sz w:val="20"/>
                <w:szCs w:val="20"/>
              </w:rPr>
            </w:pPr>
            <w:r>
              <w:rPr>
                <w:rFonts w:ascii="Arial" w:hAnsi="Arial" w:cs="Arial"/>
                <w:sz w:val="20"/>
                <w:szCs w:val="20"/>
              </w:rPr>
              <w:t>3</w:t>
            </w:r>
            <w:r w:rsidR="00C603D8" w:rsidRPr="0016041A">
              <w:rPr>
                <w:rFonts w:ascii="Arial" w:hAnsi="Arial" w:cs="Arial"/>
                <w:sz w:val="20"/>
                <w:szCs w:val="20"/>
              </w:rPr>
              <w:t>) D2D synchronization procedure</w:t>
            </w:r>
            <w:r w:rsidR="00C603D8" w:rsidRPr="0016041A">
              <w:rPr>
                <w:rFonts w:ascii="Arial" w:hAnsi="Arial" w:cs="Arial"/>
                <w:sz w:val="20"/>
                <w:szCs w:val="20"/>
              </w:rPr>
              <w:br/>
            </w:r>
            <w:r>
              <w:rPr>
                <w:rFonts w:ascii="Arial" w:hAnsi="Arial" w:cs="Arial"/>
                <w:sz w:val="20"/>
                <w:szCs w:val="20"/>
              </w:rPr>
              <w:t>4</w:t>
            </w:r>
            <w:r w:rsidR="00C603D8" w:rsidRPr="0016041A">
              <w:rPr>
                <w:rFonts w:ascii="Arial" w:hAnsi="Arial" w:cs="Arial"/>
                <w:sz w:val="20"/>
                <w:szCs w:val="20"/>
              </w:rPr>
              <w:t>) D2D discovery signal transmission and reception</w:t>
            </w:r>
          </w:p>
        </w:tc>
        <w:tc>
          <w:tcPr>
            <w:tcW w:w="1843" w:type="dxa"/>
            <w:tcBorders>
              <w:top w:val="nil"/>
              <w:left w:val="nil"/>
              <w:bottom w:val="single" w:sz="4" w:space="0" w:color="auto"/>
              <w:right w:val="single" w:sz="4" w:space="0" w:color="auto"/>
            </w:tcBorders>
            <w:shd w:val="clear" w:color="auto" w:fill="auto"/>
            <w:hideMark/>
          </w:tcPr>
          <w:p w:rsidR="00C603D8" w:rsidRPr="0016041A" w:rsidRDefault="00F45320" w:rsidP="00527E84">
            <w:pPr>
              <w:rPr>
                <w:rFonts w:ascii="Arial" w:hAnsi="Arial" w:cs="Arial"/>
                <w:sz w:val="20"/>
                <w:szCs w:val="20"/>
              </w:rPr>
            </w:pPr>
            <w:r>
              <w:rPr>
                <w:rFonts w:ascii="Arial" w:hAnsi="Arial" w:cs="Arial"/>
                <w:sz w:val="20"/>
                <w:szCs w:val="20"/>
              </w:rPr>
              <w:t>None</w:t>
            </w:r>
          </w:p>
        </w:tc>
      </w:tr>
    </w:tbl>
    <w:p w:rsidR="009C7DD9" w:rsidRDefault="009C7DD9" w:rsidP="00F64177">
      <w:pPr>
        <w:pStyle w:val="BodyText"/>
      </w:pPr>
    </w:p>
    <w:p w:rsidR="00C95E79" w:rsidRDefault="004170B3" w:rsidP="004170B3">
      <w:pPr>
        <w:pStyle w:val="BodyText"/>
      </w:pPr>
      <w:r>
        <w:lastRenderedPageBreak/>
        <w:t>In addition to the above capabilities there is a need to discuss which carriers the feature groups can be used on. For discovery it is clear based on RAN2 agreement that discovery can only be operated on the PCell.</w:t>
      </w:r>
    </w:p>
    <w:p w:rsidR="004170B3" w:rsidRPr="007E3A2C" w:rsidRDefault="004170B3" w:rsidP="004170B3">
      <w:pPr>
        <w:pStyle w:val="BodyText"/>
        <w:rPr>
          <w:b/>
          <w:i/>
        </w:rPr>
      </w:pPr>
      <w:r w:rsidRPr="007E3A2C">
        <w:rPr>
          <w:b/>
          <w:i/>
        </w:rPr>
        <w:t>Observation</w:t>
      </w:r>
    </w:p>
    <w:p w:rsidR="004170B3" w:rsidRPr="007E3A2C" w:rsidRDefault="004170B3" w:rsidP="004170B3">
      <w:pPr>
        <w:pStyle w:val="BodyText"/>
        <w:numPr>
          <w:ilvl w:val="0"/>
          <w:numId w:val="40"/>
        </w:numPr>
        <w:rPr>
          <w:b/>
          <w:i/>
        </w:rPr>
      </w:pPr>
      <w:r w:rsidRPr="007E3A2C">
        <w:rPr>
          <w:b/>
          <w:i/>
        </w:rPr>
        <w:t>ProSe discovery can only be operated on the Pcell</w:t>
      </w:r>
    </w:p>
    <w:p w:rsidR="00CA6E09" w:rsidRPr="007E3A2C" w:rsidRDefault="00CA6E09" w:rsidP="00CA6E09">
      <w:pPr>
        <w:pStyle w:val="BodyText"/>
        <w:numPr>
          <w:ilvl w:val="0"/>
          <w:numId w:val="40"/>
        </w:numPr>
        <w:rPr>
          <w:b/>
          <w:i/>
        </w:rPr>
      </w:pPr>
      <w:r w:rsidRPr="007E3A2C">
        <w:rPr>
          <w:b/>
          <w:i/>
        </w:rPr>
        <w:t>ProSe communication can either be operated on the Pcell or on an out of coverage carrier</w:t>
      </w:r>
    </w:p>
    <w:p w:rsidR="00CA6E09" w:rsidRDefault="00CA6E09" w:rsidP="00CA3C05">
      <w:pPr>
        <w:pStyle w:val="BodyText"/>
        <w:ind w:left="720"/>
      </w:pPr>
    </w:p>
    <w:p w:rsidR="00CA3C05" w:rsidRDefault="00CA3C05" w:rsidP="004170B3">
      <w:pPr>
        <w:pStyle w:val="BodyText"/>
      </w:pPr>
      <w:r>
        <w:t>We further notice that</w:t>
      </w:r>
      <w:r w:rsidR="00F02558">
        <w:t>,</w:t>
      </w:r>
      <w:r>
        <w:t xml:space="preserve"> for discovery</w:t>
      </w:r>
      <w:r w:rsidR="00F02558">
        <w:t>,</w:t>
      </w:r>
      <w:r>
        <w:t xml:space="preserve"> rules have been defined by RAN1 for </w:t>
      </w:r>
      <w:r w:rsidR="00F02558">
        <w:t xml:space="preserve">dynamically </w:t>
      </w:r>
      <w:r>
        <w:t>switching the receiver between the DL and UL carriers, while no such rule has been defined for communication. The reason is that for communication 2 receiver chains are always assumed, where one of the chains is used for D2D reception. We believe that a similar reasoning should be followed for defining D2D transmitter capabilities.</w:t>
      </w:r>
    </w:p>
    <w:p w:rsidR="004170B3" w:rsidRDefault="002331B8" w:rsidP="004170B3">
      <w:pPr>
        <w:pStyle w:val="BodyText"/>
      </w:pPr>
      <w:r>
        <w:t xml:space="preserve">We </w:t>
      </w:r>
      <w:r w:rsidR="00CA3C05">
        <w:t xml:space="preserve">further </w:t>
      </w:r>
      <w:r>
        <w:t xml:space="preserve">note that if the </w:t>
      </w:r>
      <w:r w:rsidR="00702143">
        <w:t xml:space="preserve">Tx chain would be shared between cellular and </w:t>
      </w:r>
      <w:r w:rsidR="00CA3C05">
        <w:t xml:space="preserve">D2D </w:t>
      </w:r>
      <w:r w:rsidR="00702143">
        <w:t xml:space="preserve">it would severally impact both services as the UE </w:t>
      </w:r>
      <w:r w:rsidR="00CA3C05">
        <w:t xml:space="preserve">would either </w:t>
      </w:r>
      <w:r w:rsidR="005A0C32">
        <w:t>transmit</w:t>
      </w:r>
      <w:r w:rsidR="00702143">
        <w:t xml:space="preserve"> cellular traffic or ProSe. </w:t>
      </w:r>
      <w:r w:rsidR="00CA3C05">
        <w:t>We expect major impact especially for PS communication due to the high density of communication subframes</w:t>
      </w:r>
      <w:r w:rsidR="009C1D1B">
        <w:t>, which results in the inability to fulfill the VoIP reliability requirements</w:t>
      </w:r>
      <w:r w:rsidR="00CA3C05">
        <w:t>.</w:t>
      </w:r>
      <w:r w:rsidR="00702143">
        <w:t xml:space="preserve"> </w:t>
      </w:r>
    </w:p>
    <w:p w:rsidR="00CA3C05" w:rsidRDefault="00CA3C05" w:rsidP="004170B3">
      <w:pPr>
        <w:pStyle w:val="BodyText"/>
      </w:pPr>
      <w:r>
        <w:t>Finally, due to the RAN2 agreements on capabilities configuration, it follows naturally that communication capable UEs need to be capable</w:t>
      </w:r>
      <w:r w:rsidR="00FD7472">
        <w:t xml:space="preserve"> to transmit on multiple carriers</w:t>
      </w:r>
      <w:r>
        <w:t>, otherwise it would be impossible for an eNB to configure the UE to transmit D2D on an out of coverage carrier (USDoC roaming scenario) without losing connection on the Pcell.</w:t>
      </w:r>
    </w:p>
    <w:p w:rsidR="00702143" w:rsidRPr="007E3A2C" w:rsidRDefault="00702143" w:rsidP="004170B3">
      <w:pPr>
        <w:pStyle w:val="BodyText"/>
        <w:rPr>
          <w:b/>
          <w:i/>
        </w:rPr>
      </w:pPr>
      <w:r w:rsidRPr="007E3A2C">
        <w:rPr>
          <w:b/>
          <w:i/>
        </w:rPr>
        <w:t>Proposal</w:t>
      </w:r>
      <w:r w:rsidR="00E5791A">
        <w:rPr>
          <w:b/>
          <w:i/>
        </w:rPr>
        <w:t>:</w:t>
      </w:r>
    </w:p>
    <w:p w:rsidR="00FD7472" w:rsidRDefault="00CA3C05" w:rsidP="007E3A2C">
      <w:pPr>
        <w:pStyle w:val="BodyText"/>
        <w:ind w:left="720"/>
        <w:rPr>
          <w:b/>
          <w:i/>
        </w:rPr>
      </w:pPr>
      <w:r w:rsidRPr="007E3A2C">
        <w:rPr>
          <w:b/>
          <w:i/>
        </w:rPr>
        <w:t>ProSe communication capable UEs are capable</w:t>
      </w:r>
      <w:r w:rsidR="00FD7472" w:rsidRPr="007E3A2C">
        <w:rPr>
          <w:b/>
          <w:i/>
        </w:rPr>
        <w:t xml:space="preserve"> of simultaneously transmitting cellular UL and D2D on different carriers</w:t>
      </w:r>
      <w:r w:rsidRPr="007E3A2C">
        <w:rPr>
          <w:b/>
          <w:i/>
        </w:rPr>
        <w:t>.</w:t>
      </w:r>
    </w:p>
    <w:p w:rsidR="00E5791A" w:rsidRPr="007E3A2C" w:rsidRDefault="00E5791A" w:rsidP="00E5791A">
      <w:pPr>
        <w:pStyle w:val="BodyText"/>
        <w:rPr>
          <w:b/>
          <w:i/>
        </w:rPr>
      </w:pPr>
    </w:p>
    <w:p w:rsidR="002D4C4D" w:rsidRDefault="002D4C4D" w:rsidP="00016953">
      <w:pPr>
        <w:pStyle w:val="Heading1"/>
      </w:pPr>
      <w:r w:rsidRPr="00E70914">
        <w:t>Conclusion</w:t>
      </w:r>
      <w:r w:rsidR="00CA3C05">
        <w:t>s</w:t>
      </w:r>
    </w:p>
    <w:p w:rsidR="002D4C4D" w:rsidRDefault="00C603D8" w:rsidP="00016953">
      <w:pPr>
        <w:pStyle w:val="BodyText"/>
      </w:pPr>
      <w:r>
        <w:t>In this contribution</w:t>
      </w:r>
      <w:r w:rsidR="002D4C4D" w:rsidRPr="00E70914">
        <w:t xml:space="preserve"> we </w:t>
      </w:r>
      <w:r w:rsidR="003F68FD">
        <w:t>discussed</w:t>
      </w:r>
      <w:r w:rsidR="00B20383">
        <w:t xml:space="preserve"> the</w:t>
      </w:r>
      <w:r w:rsidR="003F68FD">
        <w:t xml:space="preserve"> </w:t>
      </w:r>
      <w:r w:rsidR="005A0C32">
        <w:t xml:space="preserve">D2D </w:t>
      </w:r>
      <w:r>
        <w:t>UE capabilities based on the discussion in the contribution</w:t>
      </w:r>
      <w:r w:rsidR="00B20383">
        <w:t>,</w:t>
      </w:r>
      <w:r>
        <w:t xml:space="preserve"> we </w:t>
      </w:r>
      <w:r w:rsidR="00E5791A">
        <w:t>concluded</w:t>
      </w:r>
      <w:r>
        <w:t xml:space="preserve"> the following: </w:t>
      </w:r>
    </w:p>
    <w:p w:rsidR="00E5791A" w:rsidRPr="007E3A2C" w:rsidRDefault="00E5791A" w:rsidP="00E5791A">
      <w:pPr>
        <w:pStyle w:val="BodyText"/>
        <w:rPr>
          <w:b/>
          <w:i/>
        </w:rPr>
      </w:pPr>
      <w:r w:rsidRPr="007E3A2C">
        <w:rPr>
          <w:b/>
          <w:i/>
        </w:rPr>
        <w:t>Observation</w:t>
      </w:r>
    </w:p>
    <w:p w:rsidR="00E5791A" w:rsidRPr="007E3A2C" w:rsidRDefault="00E5791A" w:rsidP="00E5791A">
      <w:pPr>
        <w:pStyle w:val="BodyText"/>
        <w:numPr>
          <w:ilvl w:val="0"/>
          <w:numId w:val="40"/>
        </w:numPr>
        <w:rPr>
          <w:b/>
          <w:i/>
        </w:rPr>
      </w:pPr>
      <w:r w:rsidRPr="007E3A2C">
        <w:rPr>
          <w:b/>
          <w:i/>
        </w:rPr>
        <w:t>ProSe discovery can only be operated on the Pcell</w:t>
      </w:r>
    </w:p>
    <w:p w:rsidR="00E5791A" w:rsidRPr="007E3A2C" w:rsidRDefault="00E5791A" w:rsidP="00E5791A">
      <w:pPr>
        <w:pStyle w:val="BodyText"/>
        <w:numPr>
          <w:ilvl w:val="0"/>
          <w:numId w:val="40"/>
        </w:numPr>
        <w:rPr>
          <w:b/>
          <w:i/>
        </w:rPr>
      </w:pPr>
      <w:r w:rsidRPr="007E3A2C">
        <w:rPr>
          <w:b/>
          <w:i/>
        </w:rPr>
        <w:t>ProSe communication can either be operated on the Pcell or on an out of coverage carrier</w:t>
      </w:r>
    </w:p>
    <w:p w:rsidR="00E5791A" w:rsidRPr="007E3A2C" w:rsidRDefault="00E5791A" w:rsidP="00E5791A">
      <w:pPr>
        <w:pStyle w:val="BodyText"/>
        <w:rPr>
          <w:b/>
          <w:i/>
        </w:rPr>
      </w:pPr>
      <w:r w:rsidRPr="007E3A2C">
        <w:rPr>
          <w:b/>
          <w:i/>
        </w:rPr>
        <w:t>Proposal</w:t>
      </w:r>
      <w:r>
        <w:rPr>
          <w:b/>
          <w:i/>
        </w:rPr>
        <w:t>:</w:t>
      </w:r>
    </w:p>
    <w:p w:rsidR="00E5791A" w:rsidRDefault="00E5791A" w:rsidP="00E5791A">
      <w:pPr>
        <w:pStyle w:val="BodyText"/>
        <w:ind w:left="720"/>
        <w:rPr>
          <w:b/>
          <w:i/>
        </w:rPr>
      </w:pPr>
      <w:r w:rsidRPr="007E3A2C">
        <w:rPr>
          <w:b/>
          <w:i/>
        </w:rPr>
        <w:t>ProSe communication capable UEs are capable of simultaneously transmitting cellular UL and D2D on different carriers.</w:t>
      </w:r>
    </w:p>
    <w:p w:rsidR="00E5791A" w:rsidRDefault="00E5791A" w:rsidP="00E5791A">
      <w:pPr>
        <w:pStyle w:val="BodyText"/>
      </w:pPr>
    </w:p>
    <w:p w:rsidR="002335B8" w:rsidRPr="00E5791A" w:rsidRDefault="00C603D8" w:rsidP="00C603D8">
      <w:pPr>
        <w:pStyle w:val="BodyText"/>
      </w:pPr>
      <w:r>
        <w:t>The remaining UE capabilities are captured as following:</w:t>
      </w:r>
    </w:p>
    <w:tbl>
      <w:tblPr>
        <w:tblW w:w="8812" w:type="dxa"/>
        <w:tblInd w:w="93" w:type="dxa"/>
        <w:tblLook w:val="04A0" w:firstRow="1" w:lastRow="0" w:firstColumn="1" w:lastColumn="0" w:noHBand="0" w:noVBand="1"/>
      </w:tblPr>
      <w:tblGrid>
        <w:gridCol w:w="1100"/>
        <w:gridCol w:w="680"/>
        <w:gridCol w:w="2140"/>
        <w:gridCol w:w="3608"/>
        <w:gridCol w:w="1284"/>
      </w:tblGrid>
      <w:tr w:rsidR="002335B8" w:rsidRPr="0016041A" w:rsidTr="00AB7A0C">
        <w:trPr>
          <w:trHeight w:val="315"/>
        </w:trPr>
        <w:tc>
          <w:tcPr>
            <w:tcW w:w="1100" w:type="dxa"/>
            <w:vMerge w:val="restart"/>
            <w:tcBorders>
              <w:top w:val="double" w:sz="6" w:space="0" w:color="auto"/>
              <w:left w:val="single" w:sz="8" w:space="0" w:color="auto"/>
              <w:right w:val="single" w:sz="4" w:space="0" w:color="auto"/>
            </w:tcBorders>
            <w:shd w:val="clear" w:color="auto" w:fill="auto"/>
            <w:vAlign w:val="center"/>
            <w:hideMark/>
          </w:tcPr>
          <w:p w:rsidR="002335B8" w:rsidRPr="0016041A" w:rsidRDefault="002335B8">
            <w:pPr>
              <w:rPr>
                <w:rFonts w:ascii="Arial" w:hAnsi="Arial" w:cs="Arial"/>
                <w:sz w:val="20"/>
                <w:szCs w:val="20"/>
              </w:rPr>
            </w:pPr>
            <w:r w:rsidRPr="0016041A">
              <w:rPr>
                <w:rFonts w:ascii="Arial" w:hAnsi="Arial" w:cs="Arial"/>
                <w:sz w:val="20"/>
                <w:szCs w:val="20"/>
              </w:rPr>
              <w:t xml:space="preserve">4. </w:t>
            </w:r>
            <w:r>
              <w:rPr>
                <w:rFonts w:ascii="Arial" w:hAnsi="Arial" w:cs="Arial"/>
                <w:sz w:val="20"/>
                <w:szCs w:val="20"/>
              </w:rPr>
              <w:t>ProSe</w:t>
            </w:r>
          </w:p>
        </w:tc>
        <w:tc>
          <w:tcPr>
            <w:tcW w:w="680" w:type="dxa"/>
            <w:tcBorders>
              <w:top w:val="double" w:sz="6" w:space="0" w:color="auto"/>
              <w:left w:val="nil"/>
              <w:bottom w:val="single" w:sz="4" w:space="0" w:color="auto"/>
              <w:right w:val="single" w:sz="4" w:space="0" w:color="auto"/>
            </w:tcBorders>
            <w:shd w:val="clear" w:color="auto" w:fill="auto"/>
            <w:hideMark/>
          </w:tcPr>
          <w:p w:rsidR="002335B8" w:rsidRPr="0016041A" w:rsidRDefault="002335B8" w:rsidP="009760C8">
            <w:pPr>
              <w:rPr>
                <w:rFonts w:ascii="Arial" w:hAnsi="Arial" w:cs="Arial"/>
                <w:sz w:val="20"/>
                <w:szCs w:val="20"/>
              </w:rPr>
            </w:pPr>
            <w:r w:rsidRPr="0016041A">
              <w:rPr>
                <w:rFonts w:ascii="Arial" w:hAnsi="Arial" w:cs="Arial"/>
                <w:sz w:val="20"/>
                <w:szCs w:val="20"/>
              </w:rPr>
              <w:t>4-1</w:t>
            </w:r>
          </w:p>
        </w:tc>
        <w:tc>
          <w:tcPr>
            <w:tcW w:w="2140" w:type="dxa"/>
            <w:tcBorders>
              <w:top w:val="double" w:sz="6" w:space="0" w:color="auto"/>
              <w:left w:val="nil"/>
              <w:bottom w:val="single" w:sz="4" w:space="0" w:color="auto"/>
              <w:right w:val="single" w:sz="4" w:space="0" w:color="auto"/>
            </w:tcBorders>
            <w:shd w:val="clear" w:color="auto" w:fill="auto"/>
            <w:hideMark/>
          </w:tcPr>
          <w:p w:rsidR="002335B8" w:rsidRPr="0016041A" w:rsidRDefault="002335B8" w:rsidP="009760C8">
            <w:pPr>
              <w:rPr>
                <w:rFonts w:ascii="Arial" w:hAnsi="Arial" w:cs="Arial"/>
                <w:sz w:val="20"/>
                <w:szCs w:val="20"/>
              </w:rPr>
            </w:pPr>
            <w:r>
              <w:rPr>
                <w:rFonts w:ascii="Arial" w:hAnsi="Arial" w:cs="Arial"/>
                <w:sz w:val="20"/>
                <w:szCs w:val="20"/>
              </w:rPr>
              <w:t>ProSe</w:t>
            </w:r>
            <w:r w:rsidRPr="0016041A">
              <w:rPr>
                <w:rFonts w:ascii="Arial" w:hAnsi="Arial" w:cs="Arial"/>
                <w:sz w:val="20"/>
                <w:szCs w:val="20"/>
              </w:rPr>
              <w:t xml:space="preserve">  communication</w:t>
            </w:r>
          </w:p>
        </w:tc>
        <w:tc>
          <w:tcPr>
            <w:tcW w:w="3608" w:type="dxa"/>
            <w:tcBorders>
              <w:top w:val="double" w:sz="6" w:space="0" w:color="auto"/>
              <w:left w:val="nil"/>
              <w:bottom w:val="single" w:sz="4" w:space="0" w:color="auto"/>
              <w:right w:val="single" w:sz="4" w:space="0" w:color="auto"/>
            </w:tcBorders>
            <w:shd w:val="clear" w:color="auto" w:fill="auto"/>
            <w:hideMark/>
          </w:tcPr>
          <w:p w:rsidR="002335B8" w:rsidRPr="0016041A" w:rsidRDefault="002335B8" w:rsidP="009760C8">
            <w:pPr>
              <w:rPr>
                <w:rFonts w:ascii="Arial" w:hAnsi="Arial" w:cs="Arial"/>
                <w:sz w:val="20"/>
                <w:szCs w:val="20"/>
              </w:rPr>
            </w:pPr>
            <w:r w:rsidRPr="0016041A">
              <w:rPr>
                <w:rFonts w:ascii="Arial" w:hAnsi="Arial" w:cs="Arial"/>
                <w:sz w:val="20"/>
                <w:szCs w:val="20"/>
              </w:rPr>
              <w:t>1) Mode 1 resource allocation</w:t>
            </w:r>
            <w:r w:rsidRPr="0016041A">
              <w:rPr>
                <w:rFonts w:ascii="Arial" w:hAnsi="Arial" w:cs="Arial"/>
                <w:sz w:val="20"/>
                <w:szCs w:val="20"/>
              </w:rPr>
              <w:br/>
              <w:t>2) Mode 2 resource allocation</w:t>
            </w:r>
            <w:r w:rsidRPr="0016041A">
              <w:rPr>
                <w:rFonts w:ascii="Arial" w:hAnsi="Arial" w:cs="Arial"/>
                <w:sz w:val="20"/>
                <w:szCs w:val="20"/>
              </w:rPr>
              <w:br/>
              <w:t xml:space="preserve">3) </w:t>
            </w:r>
            <w:r>
              <w:rPr>
                <w:rFonts w:ascii="Arial" w:hAnsi="Arial" w:cs="Arial"/>
                <w:sz w:val="20"/>
                <w:szCs w:val="20"/>
              </w:rPr>
              <w:t>ProSe</w:t>
            </w:r>
            <w:r w:rsidRPr="0016041A">
              <w:rPr>
                <w:rFonts w:ascii="Arial" w:hAnsi="Arial" w:cs="Arial"/>
                <w:sz w:val="20"/>
                <w:szCs w:val="20"/>
              </w:rPr>
              <w:t xml:space="preserve"> synchronization procedure</w:t>
            </w:r>
            <w:r w:rsidRPr="0016041A">
              <w:rPr>
                <w:rFonts w:ascii="Arial" w:hAnsi="Arial" w:cs="Arial"/>
                <w:sz w:val="20"/>
                <w:szCs w:val="20"/>
              </w:rPr>
              <w:br/>
            </w:r>
            <w:r>
              <w:rPr>
                <w:rFonts w:ascii="Arial" w:hAnsi="Arial" w:cs="Arial"/>
                <w:sz w:val="20"/>
                <w:szCs w:val="20"/>
              </w:rPr>
              <w:t>4) ProSe</w:t>
            </w:r>
            <w:r w:rsidRPr="0016041A">
              <w:rPr>
                <w:rFonts w:ascii="Arial" w:hAnsi="Arial" w:cs="Arial"/>
                <w:sz w:val="20"/>
                <w:szCs w:val="20"/>
              </w:rPr>
              <w:t xml:space="preserve"> communication signal transmission and reception</w:t>
            </w:r>
          </w:p>
        </w:tc>
        <w:tc>
          <w:tcPr>
            <w:tcW w:w="1284" w:type="dxa"/>
            <w:tcBorders>
              <w:top w:val="double" w:sz="6" w:space="0" w:color="auto"/>
              <w:left w:val="nil"/>
              <w:bottom w:val="single" w:sz="4" w:space="0" w:color="auto"/>
              <w:right w:val="single" w:sz="4" w:space="0" w:color="auto"/>
            </w:tcBorders>
            <w:shd w:val="clear" w:color="auto" w:fill="auto"/>
            <w:hideMark/>
          </w:tcPr>
          <w:p w:rsidR="002335B8" w:rsidRPr="0016041A" w:rsidRDefault="002335B8" w:rsidP="009760C8">
            <w:pPr>
              <w:rPr>
                <w:rFonts w:ascii="Arial" w:hAnsi="Arial" w:cs="Arial"/>
                <w:sz w:val="20"/>
                <w:szCs w:val="20"/>
              </w:rPr>
            </w:pPr>
            <w:r w:rsidRPr="0016041A">
              <w:rPr>
                <w:rFonts w:ascii="Arial" w:hAnsi="Arial" w:cs="Arial"/>
                <w:sz w:val="20"/>
                <w:szCs w:val="20"/>
              </w:rPr>
              <w:t>None</w:t>
            </w:r>
          </w:p>
        </w:tc>
      </w:tr>
      <w:tr w:rsidR="002335B8" w:rsidRPr="0016041A" w:rsidTr="00AB7A0C">
        <w:trPr>
          <w:trHeight w:val="315"/>
        </w:trPr>
        <w:tc>
          <w:tcPr>
            <w:tcW w:w="1100" w:type="dxa"/>
            <w:vMerge/>
            <w:tcBorders>
              <w:left w:val="single" w:sz="8" w:space="0" w:color="auto"/>
              <w:bottom w:val="double" w:sz="6" w:space="0" w:color="000000"/>
              <w:right w:val="single" w:sz="4" w:space="0" w:color="auto"/>
            </w:tcBorders>
            <w:shd w:val="clear" w:color="auto" w:fill="auto"/>
            <w:vAlign w:val="center"/>
            <w:hideMark/>
          </w:tcPr>
          <w:p w:rsidR="002335B8" w:rsidRPr="0016041A" w:rsidRDefault="002335B8" w:rsidP="009760C8">
            <w:pPr>
              <w:rPr>
                <w:rFonts w:ascii="Arial" w:hAnsi="Arial" w:cs="Arial"/>
                <w:sz w:val="20"/>
                <w:szCs w:val="20"/>
              </w:rPr>
            </w:pPr>
          </w:p>
        </w:tc>
        <w:tc>
          <w:tcPr>
            <w:tcW w:w="680" w:type="dxa"/>
            <w:tcBorders>
              <w:top w:val="single" w:sz="4" w:space="0" w:color="auto"/>
              <w:left w:val="nil"/>
              <w:bottom w:val="double" w:sz="6" w:space="0" w:color="auto"/>
              <w:right w:val="single" w:sz="4" w:space="0" w:color="auto"/>
            </w:tcBorders>
            <w:shd w:val="clear" w:color="auto" w:fill="auto"/>
            <w:hideMark/>
          </w:tcPr>
          <w:p w:rsidR="002335B8" w:rsidRPr="0016041A" w:rsidRDefault="002335B8" w:rsidP="009760C8">
            <w:pPr>
              <w:rPr>
                <w:rFonts w:ascii="Arial" w:hAnsi="Arial" w:cs="Arial"/>
                <w:sz w:val="20"/>
                <w:szCs w:val="20"/>
              </w:rPr>
            </w:pPr>
            <w:r w:rsidRPr="0016041A">
              <w:rPr>
                <w:rFonts w:ascii="Arial" w:hAnsi="Arial" w:cs="Arial"/>
                <w:sz w:val="20"/>
                <w:szCs w:val="20"/>
              </w:rPr>
              <w:t>4-2</w:t>
            </w:r>
          </w:p>
        </w:tc>
        <w:tc>
          <w:tcPr>
            <w:tcW w:w="2140" w:type="dxa"/>
            <w:tcBorders>
              <w:top w:val="single" w:sz="4" w:space="0" w:color="auto"/>
              <w:left w:val="nil"/>
              <w:bottom w:val="double" w:sz="6" w:space="0" w:color="auto"/>
              <w:right w:val="single" w:sz="4" w:space="0" w:color="auto"/>
            </w:tcBorders>
            <w:shd w:val="clear" w:color="auto" w:fill="auto"/>
            <w:hideMark/>
          </w:tcPr>
          <w:p w:rsidR="002335B8" w:rsidRPr="0016041A" w:rsidRDefault="002335B8" w:rsidP="009760C8">
            <w:pPr>
              <w:rPr>
                <w:rFonts w:ascii="Arial" w:hAnsi="Arial" w:cs="Arial"/>
                <w:sz w:val="20"/>
                <w:szCs w:val="20"/>
              </w:rPr>
            </w:pPr>
            <w:r>
              <w:rPr>
                <w:rFonts w:ascii="Arial" w:hAnsi="Arial" w:cs="Arial"/>
                <w:sz w:val="20"/>
                <w:szCs w:val="20"/>
              </w:rPr>
              <w:t>ProSe</w:t>
            </w:r>
            <w:r w:rsidRPr="0016041A">
              <w:rPr>
                <w:rFonts w:ascii="Arial" w:hAnsi="Arial" w:cs="Arial"/>
                <w:sz w:val="20"/>
                <w:szCs w:val="20"/>
              </w:rPr>
              <w:t xml:space="preserve"> discovery</w:t>
            </w:r>
          </w:p>
        </w:tc>
        <w:tc>
          <w:tcPr>
            <w:tcW w:w="3608" w:type="dxa"/>
            <w:tcBorders>
              <w:top w:val="single" w:sz="4" w:space="0" w:color="auto"/>
              <w:left w:val="nil"/>
              <w:bottom w:val="double" w:sz="6" w:space="0" w:color="auto"/>
              <w:right w:val="single" w:sz="4" w:space="0" w:color="auto"/>
            </w:tcBorders>
            <w:shd w:val="clear" w:color="auto" w:fill="auto"/>
            <w:hideMark/>
          </w:tcPr>
          <w:p w:rsidR="002335B8" w:rsidRPr="009760C8" w:rsidRDefault="002335B8" w:rsidP="009760C8">
            <w:pPr>
              <w:rPr>
                <w:rFonts w:ascii="Arial" w:hAnsi="Arial" w:cs="Arial"/>
                <w:sz w:val="20"/>
                <w:szCs w:val="20"/>
              </w:rPr>
            </w:pPr>
            <w:r>
              <w:rPr>
                <w:rFonts w:ascii="Arial" w:hAnsi="Arial" w:cs="Arial"/>
                <w:sz w:val="20"/>
                <w:szCs w:val="20"/>
              </w:rPr>
              <w:t xml:space="preserve">1) </w:t>
            </w:r>
            <w:r w:rsidRPr="009760C8">
              <w:rPr>
                <w:rFonts w:ascii="Arial" w:hAnsi="Arial" w:cs="Arial"/>
                <w:sz w:val="20"/>
                <w:szCs w:val="20"/>
              </w:rPr>
              <w:t>ProSe discovey type 2 resource allocation</w:t>
            </w:r>
          </w:p>
          <w:p w:rsidR="002335B8" w:rsidRDefault="002335B8" w:rsidP="009760C8">
            <w:pPr>
              <w:rPr>
                <w:rFonts w:ascii="Arial" w:hAnsi="Arial" w:cs="Arial"/>
                <w:sz w:val="20"/>
                <w:szCs w:val="20"/>
              </w:rPr>
            </w:pPr>
            <w:r>
              <w:rPr>
                <w:rFonts w:ascii="Arial" w:hAnsi="Arial" w:cs="Arial"/>
                <w:sz w:val="20"/>
                <w:szCs w:val="20"/>
              </w:rPr>
              <w:t>2) ProSe discovey type 1 resource allocation</w:t>
            </w:r>
          </w:p>
          <w:p w:rsidR="002335B8" w:rsidRPr="0016041A" w:rsidRDefault="002335B8" w:rsidP="009760C8">
            <w:pPr>
              <w:rPr>
                <w:rFonts w:ascii="Arial" w:hAnsi="Arial" w:cs="Arial"/>
                <w:sz w:val="20"/>
                <w:szCs w:val="20"/>
              </w:rPr>
            </w:pPr>
            <w:r>
              <w:rPr>
                <w:rFonts w:ascii="Arial" w:hAnsi="Arial" w:cs="Arial"/>
                <w:sz w:val="20"/>
                <w:szCs w:val="20"/>
              </w:rPr>
              <w:t>3</w:t>
            </w:r>
            <w:r w:rsidRPr="0016041A">
              <w:rPr>
                <w:rFonts w:ascii="Arial" w:hAnsi="Arial" w:cs="Arial"/>
                <w:sz w:val="20"/>
                <w:szCs w:val="20"/>
              </w:rPr>
              <w:t>) D2D synchronization procedure</w:t>
            </w:r>
            <w:r w:rsidRPr="0016041A">
              <w:rPr>
                <w:rFonts w:ascii="Arial" w:hAnsi="Arial" w:cs="Arial"/>
                <w:sz w:val="20"/>
                <w:szCs w:val="20"/>
              </w:rPr>
              <w:br/>
            </w:r>
            <w:r>
              <w:rPr>
                <w:rFonts w:ascii="Arial" w:hAnsi="Arial" w:cs="Arial"/>
                <w:sz w:val="20"/>
                <w:szCs w:val="20"/>
              </w:rPr>
              <w:t>4</w:t>
            </w:r>
            <w:r w:rsidRPr="0016041A">
              <w:rPr>
                <w:rFonts w:ascii="Arial" w:hAnsi="Arial" w:cs="Arial"/>
                <w:sz w:val="20"/>
                <w:szCs w:val="20"/>
              </w:rPr>
              <w:t>) D2D discovery signal transmission and reception</w:t>
            </w:r>
          </w:p>
        </w:tc>
        <w:tc>
          <w:tcPr>
            <w:tcW w:w="1284" w:type="dxa"/>
            <w:tcBorders>
              <w:top w:val="single" w:sz="4" w:space="0" w:color="auto"/>
              <w:left w:val="nil"/>
              <w:bottom w:val="double" w:sz="6" w:space="0" w:color="auto"/>
              <w:right w:val="single" w:sz="4" w:space="0" w:color="auto"/>
            </w:tcBorders>
            <w:shd w:val="clear" w:color="auto" w:fill="auto"/>
            <w:hideMark/>
          </w:tcPr>
          <w:p w:rsidR="002335B8" w:rsidRPr="0016041A" w:rsidRDefault="002335B8" w:rsidP="009760C8">
            <w:pPr>
              <w:rPr>
                <w:rFonts w:ascii="Arial" w:hAnsi="Arial" w:cs="Arial"/>
                <w:sz w:val="20"/>
                <w:szCs w:val="20"/>
              </w:rPr>
            </w:pPr>
            <w:r>
              <w:rPr>
                <w:rFonts w:ascii="Arial" w:hAnsi="Arial" w:cs="Arial"/>
                <w:sz w:val="20"/>
                <w:szCs w:val="20"/>
              </w:rPr>
              <w:t>None</w:t>
            </w:r>
          </w:p>
        </w:tc>
      </w:tr>
    </w:tbl>
    <w:p w:rsidR="005E055B" w:rsidRPr="00475509" w:rsidRDefault="005E055B" w:rsidP="00C603D8">
      <w:pPr>
        <w:pStyle w:val="BodyText"/>
        <w:rPr>
          <w:i/>
        </w:rPr>
      </w:pPr>
    </w:p>
    <w:p w:rsidR="002A56A0" w:rsidRPr="00E70914" w:rsidRDefault="002A56A0" w:rsidP="00016953">
      <w:pPr>
        <w:pStyle w:val="Heading1"/>
      </w:pPr>
      <w:r w:rsidRPr="00E70914">
        <w:t>References</w:t>
      </w:r>
    </w:p>
    <w:p w:rsidR="00FB6508" w:rsidRDefault="00376A1D" w:rsidP="00376A1D">
      <w:pPr>
        <w:pStyle w:val="Reference"/>
        <w:numPr>
          <w:ilvl w:val="0"/>
          <w:numId w:val="43"/>
        </w:numPr>
        <w:ind w:left="567" w:hanging="567"/>
      </w:pPr>
      <w:bookmarkStart w:id="4" w:name="_Ref382574181"/>
      <w:r>
        <w:rPr>
          <w:rFonts w:hint="eastAsia"/>
        </w:rPr>
        <w:t>R1-144535</w:t>
      </w:r>
      <w:bookmarkEnd w:id="4"/>
      <w:r>
        <w:rPr>
          <w:rFonts w:hint="eastAsia"/>
        </w:rPr>
        <w:t xml:space="preserve">, </w:t>
      </w:r>
      <w:r>
        <w:rPr>
          <w:rFonts w:hint="eastAsia"/>
        </w:rPr>
        <w:t>“</w:t>
      </w:r>
      <w:r>
        <w:rPr>
          <w:rFonts w:hint="eastAsia"/>
          <w:lang w:eastAsia="ja-JP"/>
        </w:rPr>
        <w:t>LS on updated LTE Rel-12 UE feature list</w:t>
      </w:r>
      <w:r>
        <w:rPr>
          <w:rFonts w:hint="eastAsia"/>
          <w:lang w:eastAsia="ja-JP"/>
        </w:rPr>
        <w:t>”</w:t>
      </w:r>
    </w:p>
    <w:sectPr w:rsidR="00FB650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
    <w:nsid w:val="03EC36DC"/>
    <w:multiLevelType w:val="hybridMultilevel"/>
    <w:tmpl w:val="C1E85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BD75F5"/>
    <w:multiLevelType w:val="hybridMultilevel"/>
    <w:tmpl w:val="F724EBA0"/>
    <w:lvl w:ilvl="0" w:tplc="9A9E342C">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nsid w:val="0B8936C8"/>
    <w:multiLevelType w:val="hybridMultilevel"/>
    <w:tmpl w:val="4B0EE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244D87"/>
    <w:multiLevelType w:val="hybridMultilevel"/>
    <w:tmpl w:val="8FBCA34A"/>
    <w:lvl w:ilvl="0" w:tplc="ABB60370">
      <w:start w:val="1"/>
      <w:numFmt w:val="bullet"/>
      <w:lvlText w:val="•"/>
      <w:lvlJc w:val="left"/>
      <w:pPr>
        <w:tabs>
          <w:tab w:val="num" w:pos="720"/>
        </w:tabs>
        <w:ind w:left="720" w:hanging="360"/>
      </w:pPr>
      <w:rPr>
        <w:rFonts w:ascii="Arial" w:hAnsi="Arial" w:cs="Times New Roman" w:hint="default"/>
      </w:rPr>
    </w:lvl>
    <w:lvl w:ilvl="1" w:tplc="21147BBA">
      <w:start w:val="698"/>
      <w:numFmt w:val="bullet"/>
      <w:lvlText w:val="–"/>
      <w:lvlJc w:val="left"/>
      <w:pPr>
        <w:tabs>
          <w:tab w:val="num" w:pos="1440"/>
        </w:tabs>
        <w:ind w:left="1440" w:hanging="360"/>
      </w:pPr>
      <w:rPr>
        <w:rFonts w:ascii="Arial" w:hAnsi="Arial" w:cs="Times New Roman" w:hint="default"/>
      </w:rPr>
    </w:lvl>
    <w:lvl w:ilvl="2" w:tplc="3006A494">
      <w:start w:val="698"/>
      <w:numFmt w:val="bullet"/>
      <w:lvlText w:val="•"/>
      <w:lvlJc w:val="left"/>
      <w:pPr>
        <w:tabs>
          <w:tab w:val="num" w:pos="2160"/>
        </w:tabs>
        <w:ind w:left="2160" w:hanging="360"/>
      </w:pPr>
      <w:rPr>
        <w:rFonts w:ascii="Arial" w:hAnsi="Arial" w:cs="Times New Roman" w:hint="default"/>
      </w:rPr>
    </w:lvl>
    <w:lvl w:ilvl="3" w:tplc="479EF92A">
      <w:start w:val="698"/>
      <w:numFmt w:val="bullet"/>
      <w:lvlText w:val="–"/>
      <w:lvlJc w:val="left"/>
      <w:pPr>
        <w:tabs>
          <w:tab w:val="num" w:pos="2880"/>
        </w:tabs>
        <w:ind w:left="2880" w:hanging="360"/>
      </w:pPr>
      <w:rPr>
        <w:rFonts w:ascii="Arial" w:hAnsi="Arial" w:cs="Times New Roman" w:hint="default"/>
      </w:rPr>
    </w:lvl>
    <w:lvl w:ilvl="4" w:tplc="70F28B48">
      <w:start w:val="1"/>
      <w:numFmt w:val="bullet"/>
      <w:lvlText w:val="•"/>
      <w:lvlJc w:val="left"/>
      <w:pPr>
        <w:tabs>
          <w:tab w:val="num" w:pos="3600"/>
        </w:tabs>
        <w:ind w:left="3600" w:hanging="360"/>
      </w:pPr>
      <w:rPr>
        <w:rFonts w:ascii="Arial" w:hAnsi="Arial" w:cs="Times New Roman" w:hint="default"/>
      </w:rPr>
    </w:lvl>
    <w:lvl w:ilvl="5" w:tplc="DBDE7436">
      <w:start w:val="1"/>
      <w:numFmt w:val="bullet"/>
      <w:lvlText w:val="•"/>
      <w:lvlJc w:val="left"/>
      <w:pPr>
        <w:tabs>
          <w:tab w:val="num" w:pos="4320"/>
        </w:tabs>
        <w:ind w:left="4320" w:hanging="360"/>
      </w:pPr>
      <w:rPr>
        <w:rFonts w:ascii="Arial" w:hAnsi="Arial" w:cs="Times New Roman" w:hint="default"/>
      </w:rPr>
    </w:lvl>
    <w:lvl w:ilvl="6" w:tplc="DCB0E730">
      <w:start w:val="1"/>
      <w:numFmt w:val="bullet"/>
      <w:lvlText w:val="•"/>
      <w:lvlJc w:val="left"/>
      <w:pPr>
        <w:tabs>
          <w:tab w:val="num" w:pos="5040"/>
        </w:tabs>
        <w:ind w:left="5040" w:hanging="360"/>
      </w:pPr>
      <w:rPr>
        <w:rFonts w:ascii="Arial" w:hAnsi="Arial" w:cs="Times New Roman" w:hint="default"/>
      </w:rPr>
    </w:lvl>
    <w:lvl w:ilvl="7" w:tplc="D984455E">
      <w:start w:val="1"/>
      <w:numFmt w:val="bullet"/>
      <w:lvlText w:val="•"/>
      <w:lvlJc w:val="left"/>
      <w:pPr>
        <w:tabs>
          <w:tab w:val="num" w:pos="5760"/>
        </w:tabs>
        <w:ind w:left="5760" w:hanging="360"/>
      </w:pPr>
      <w:rPr>
        <w:rFonts w:ascii="Arial" w:hAnsi="Arial" w:cs="Times New Roman" w:hint="default"/>
      </w:rPr>
    </w:lvl>
    <w:lvl w:ilvl="8" w:tplc="852EB4CC">
      <w:start w:val="1"/>
      <w:numFmt w:val="bullet"/>
      <w:lvlText w:val="•"/>
      <w:lvlJc w:val="left"/>
      <w:pPr>
        <w:tabs>
          <w:tab w:val="num" w:pos="6480"/>
        </w:tabs>
        <w:ind w:left="6480" w:hanging="360"/>
      </w:pPr>
      <w:rPr>
        <w:rFonts w:ascii="Arial" w:hAnsi="Arial" w:cs="Times New Roman" w:hint="default"/>
      </w:rPr>
    </w:lvl>
  </w:abstractNum>
  <w:abstractNum w:abstractNumId="6">
    <w:nsid w:val="13E310F5"/>
    <w:multiLevelType w:val="hybridMultilevel"/>
    <w:tmpl w:val="79FAD6E4"/>
    <w:lvl w:ilvl="0" w:tplc="A014A88C">
      <w:start w:val="1"/>
      <w:numFmt w:val="bullet"/>
      <w:lvlText w:val="•"/>
      <w:lvlJc w:val="left"/>
      <w:pPr>
        <w:tabs>
          <w:tab w:val="num" w:pos="720"/>
        </w:tabs>
        <w:ind w:left="720" w:hanging="360"/>
      </w:pPr>
      <w:rPr>
        <w:rFonts w:ascii="Arial" w:hAnsi="Arial" w:hint="default"/>
      </w:rPr>
    </w:lvl>
    <w:lvl w:ilvl="1" w:tplc="8A882182" w:tentative="1">
      <w:start w:val="1"/>
      <w:numFmt w:val="bullet"/>
      <w:lvlText w:val="•"/>
      <w:lvlJc w:val="left"/>
      <w:pPr>
        <w:tabs>
          <w:tab w:val="num" w:pos="1440"/>
        </w:tabs>
        <w:ind w:left="1440" w:hanging="360"/>
      </w:pPr>
      <w:rPr>
        <w:rFonts w:ascii="Arial" w:hAnsi="Arial" w:hint="default"/>
      </w:rPr>
    </w:lvl>
    <w:lvl w:ilvl="2" w:tplc="FD6E0538" w:tentative="1">
      <w:start w:val="1"/>
      <w:numFmt w:val="bullet"/>
      <w:lvlText w:val="•"/>
      <w:lvlJc w:val="left"/>
      <w:pPr>
        <w:tabs>
          <w:tab w:val="num" w:pos="2160"/>
        </w:tabs>
        <w:ind w:left="2160" w:hanging="360"/>
      </w:pPr>
      <w:rPr>
        <w:rFonts w:ascii="Arial" w:hAnsi="Arial" w:hint="default"/>
      </w:rPr>
    </w:lvl>
    <w:lvl w:ilvl="3" w:tplc="76BCA2F4" w:tentative="1">
      <w:start w:val="1"/>
      <w:numFmt w:val="bullet"/>
      <w:lvlText w:val="•"/>
      <w:lvlJc w:val="left"/>
      <w:pPr>
        <w:tabs>
          <w:tab w:val="num" w:pos="2880"/>
        </w:tabs>
        <w:ind w:left="2880" w:hanging="360"/>
      </w:pPr>
      <w:rPr>
        <w:rFonts w:ascii="Arial" w:hAnsi="Arial" w:hint="default"/>
      </w:rPr>
    </w:lvl>
    <w:lvl w:ilvl="4" w:tplc="1A2679CC" w:tentative="1">
      <w:start w:val="1"/>
      <w:numFmt w:val="bullet"/>
      <w:lvlText w:val="•"/>
      <w:lvlJc w:val="left"/>
      <w:pPr>
        <w:tabs>
          <w:tab w:val="num" w:pos="3600"/>
        </w:tabs>
        <w:ind w:left="3600" w:hanging="360"/>
      </w:pPr>
      <w:rPr>
        <w:rFonts w:ascii="Arial" w:hAnsi="Arial" w:hint="default"/>
      </w:rPr>
    </w:lvl>
    <w:lvl w:ilvl="5" w:tplc="E7A44616" w:tentative="1">
      <w:start w:val="1"/>
      <w:numFmt w:val="bullet"/>
      <w:lvlText w:val="•"/>
      <w:lvlJc w:val="left"/>
      <w:pPr>
        <w:tabs>
          <w:tab w:val="num" w:pos="4320"/>
        </w:tabs>
        <w:ind w:left="4320" w:hanging="360"/>
      </w:pPr>
      <w:rPr>
        <w:rFonts w:ascii="Arial" w:hAnsi="Arial" w:hint="default"/>
      </w:rPr>
    </w:lvl>
    <w:lvl w:ilvl="6" w:tplc="30405F7E" w:tentative="1">
      <w:start w:val="1"/>
      <w:numFmt w:val="bullet"/>
      <w:lvlText w:val="•"/>
      <w:lvlJc w:val="left"/>
      <w:pPr>
        <w:tabs>
          <w:tab w:val="num" w:pos="5040"/>
        </w:tabs>
        <w:ind w:left="5040" w:hanging="360"/>
      </w:pPr>
      <w:rPr>
        <w:rFonts w:ascii="Arial" w:hAnsi="Arial" w:hint="default"/>
      </w:rPr>
    </w:lvl>
    <w:lvl w:ilvl="7" w:tplc="E5626084" w:tentative="1">
      <w:start w:val="1"/>
      <w:numFmt w:val="bullet"/>
      <w:lvlText w:val="•"/>
      <w:lvlJc w:val="left"/>
      <w:pPr>
        <w:tabs>
          <w:tab w:val="num" w:pos="5760"/>
        </w:tabs>
        <w:ind w:left="5760" w:hanging="360"/>
      </w:pPr>
      <w:rPr>
        <w:rFonts w:ascii="Arial" w:hAnsi="Arial" w:hint="default"/>
      </w:rPr>
    </w:lvl>
    <w:lvl w:ilvl="8" w:tplc="21F4D76E" w:tentative="1">
      <w:start w:val="1"/>
      <w:numFmt w:val="bullet"/>
      <w:lvlText w:val="•"/>
      <w:lvlJc w:val="left"/>
      <w:pPr>
        <w:tabs>
          <w:tab w:val="num" w:pos="6480"/>
        </w:tabs>
        <w:ind w:left="6480" w:hanging="360"/>
      </w:pPr>
      <w:rPr>
        <w:rFonts w:ascii="Arial" w:hAnsi="Arial" w:hint="default"/>
      </w:rPr>
    </w:lvl>
  </w:abstractNum>
  <w:abstractNum w:abstractNumId="7">
    <w:nsid w:val="1A962CE0"/>
    <w:multiLevelType w:val="hybridMultilevel"/>
    <w:tmpl w:val="A3DE1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3F2572"/>
    <w:multiLevelType w:val="hybridMultilevel"/>
    <w:tmpl w:val="A59E146C"/>
    <w:lvl w:ilvl="0" w:tplc="9F00737A">
      <w:numFmt w:val="bullet"/>
      <w:lvlText w:val="-"/>
      <w:lvlJc w:val="left"/>
      <w:pPr>
        <w:ind w:left="1080" w:hanging="72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FE16B9"/>
    <w:multiLevelType w:val="hybridMultilevel"/>
    <w:tmpl w:val="DEF02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534050"/>
    <w:multiLevelType w:val="hybridMultilevel"/>
    <w:tmpl w:val="F118A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8246F4"/>
    <w:multiLevelType w:val="hybridMultilevel"/>
    <w:tmpl w:val="61F8C1AE"/>
    <w:lvl w:ilvl="0" w:tplc="470E551A">
      <w:start w:val="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nsid w:val="29B83BCE"/>
    <w:multiLevelType w:val="hybridMultilevel"/>
    <w:tmpl w:val="1AB63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FC0FF0"/>
    <w:multiLevelType w:val="hybridMultilevel"/>
    <w:tmpl w:val="5A7E2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5054CBA"/>
    <w:multiLevelType w:val="hybridMultilevel"/>
    <w:tmpl w:val="9E187416"/>
    <w:lvl w:ilvl="0" w:tplc="0AC45CC0">
      <w:start w:val="1"/>
      <w:numFmt w:val="bullet"/>
      <w:lvlText w:val="•"/>
      <w:lvlJc w:val="left"/>
      <w:pPr>
        <w:tabs>
          <w:tab w:val="num" w:pos="720"/>
        </w:tabs>
        <w:ind w:left="720" w:hanging="360"/>
      </w:pPr>
      <w:rPr>
        <w:rFonts w:ascii="Arial" w:hAnsi="Arial" w:hint="default"/>
      </w:rPr>
    </w:lvl>
    <w:lvl w:ilvl="1" w:tplc="8BE434D2">
      <w:start w:val="1214"/>
      <w:numFmt w:val="bullet"/>
      <w:lvlText w:val="–"/>
      <w:lvlJc w:val="left"/>
      <w:pPr>
        <w:tabs>
          <w:tab w:val="num" w:pos="1440"/>
        </w:tabs>
        <w:ind w:left="1440" w:hanging="360"/>
      </w:pPr>
      <w:rPr>
        <w:rFonts w:ascii="Arial" w:hAnsi="Arial" w:hint="default"/>
      </w:rPr>
    </w:lvl>
    <w:lvl w:ilvl="2" w:tplc="AA4E0168" w:tentative="1">
      <w:start w:val="1"/>
      <w:numFmt w:val="bullet"/>
      <w:lvlText w:val="•"/>
      <w:lvlJc w:val="left"/>
      <w:pPr>
        <w:tabs>
          <w:tab w:val="num" w:pos="2160"/>
        </w:tabs>
        <w:ind w:left="2160" w:hanging="360"/>
      </w:pPr>
      <w:rPr>
        <w:rFonts w:ascii="Arial" w:hAnsi="Arial" w:hint="default"/>
      </w:rPr>
    </w:lvl>
    <w:lvl w:ilvl="3" w:tplc="5FB65EB6" w:tentative="1">
      <w:start w:val="1"/>
      <w:numFmt w:val="bullet"/>
      <w:lvlText w:val="•"/>
      <w:lvlJc w:val="left"/>
      <w:pPr>
        <w:tabs>
          <w:tab w:val="num" w:pos="2880"/>
        </w:tabs>
        <w:ind w:left="2880" w:hanging="360"/>
      </w:pPr>
      <w:rPr>
        <w:rFonts w:ascii="Arial" w:hAnsi="Arial" w:hint="default"/>
      </w:rPr>
    </w:lvl>
    <w:lvl w:ilvl="4" w:tplc="CCC2B9BC" w:tentative="1">
      <w:start w:val="1"/>
      <w:numFmt w:val="bullet"/>
      <w:lvlText w:val="•"/>
      <w:lvlJc w:val="left"/>
      <w:pPr>
        <w:tabs>
          <w:tab w:val="num" w:pos="3600"/>
        </w:tabs>
        <w:ind w:left="3600" w:hanging="360"/>
      </w:pPr>
      <w:rPr>
        <w:rFonts w:ascii="Arial" w:hAnsi="Arial" w:hint="default"/>
      </w:rPr>
    </w:lvl>
    <w:lvl w:ilvl="5" w:tplc="D7DA3F8C" w:tentative="1">
      <w:start w:val="1"/>
      <w:numFmt w:val="bullet"/>
      <w:lvlText w:val="•"/>
      <w:lvlJc w:val="left"/>
      <w:pPr>
        <w:tabs>
          <w:tab w:val="num" w:pos="4320"/>
        </w:tabs>
        <w:ind w:left="4320" w:hanging="360"/>
      </w:pPr>
      <w:rPr>
        <w:rFonts w:ascii="Arial" w:hAnsi="Arial" w:hint="default"/>
      </w:rPr>
    </w:lvl>
    <w:lvl w:ilvl="6" w:tplc="3B5ED6C8" w:tentative="1">
      <w:start w:val="1"/>
      <w:numFmt w:val="bullet"/>
      <w:lvlText w:val="•"/>
      <w:lvlJc w:val="left"/>
      <w:pPr>
        <w:tabs>
          <w:tab w:val="num" w:pos="5040"/>
        </w:tabs>
        <w:ind w:left="5040" w:hanging="360"/>
      </w:pPr>
      <w:rPr>
        <w:rFonts w:ascii="Arial" w:hAnsi="Arial" w:hint="default"/>
      </w:rPr>
    </w:lvl>
    <w:lvl w:ilvl="7" w:tplc="6570DF02" w:tentative="1">
      <w:start w:val="1"/>
      <w:numFmt w:val="bullet"/>
      <w:lvlText w:val="•"/>
      <w:lvlJc w:val="left"/>
      <w:pPr>
        <w:tabs>
          <w:tab w:val="num" w:pos="5760"/>
        </w:tabs>
        <w:ind w:left="5760" w:hanging="360"/>
      </w:pPr>
      <w:rPr>
        <w:rFonts w:ascii="Arial" w:hAnsi="Arial" w:hint="default"/>
      </w:rPr>
    </w:lvl>
    <w:lvl w:ilvl="8" w:tplc="ED7C39B6" w:tentative="1">
      <w:start w:val="1"/>
      <w:numFmt w:val="bullet"/>
      <w:lvlText w:val="•"/>
      <w:lvlJc w:val="left"/>
      <w:pPr>
        <w:tabs>
          <w:tab w:val="num" w:pos="6480"/>
        </w:tabs>
        <w:ind w:left="6480" w:hanging="360"/>
      </w:pPr>
      <w:rPr>
        <w:rFonts w:ascii="Arial" w:hAnsi="Arial" w:hint="default"/>
      </w:rPr>
    </w:lvl>
  </w:abstractNum>
  <w:abstractNum w:abstractNumId="18">
    <w:nsid w:val="39A36935"/>
    <w:multiLevelType w:val="hybridMultilevel"/>
    <w:tmpl w:val="CEDA0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1">
    <w:nsid w:val="41103AF7"/>
    <w:multiLevelType w:val="hybridMultilevel"/>
    <w:tmpl w:val="F32A3598"/>
    <w:lvl w:ilvl="0" w:tplc="4CEA43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nsid w:val="4C756B30"/>
    <w:multiLevelType w:val="hybridMultilevel"/>
    <w:tmpl w:val="A10CE5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020308"/>
    <w:multiLevelType w:val="hybridMultilevel"/>
    <w:tmpl w:val="01AC6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33155F7"/>
    <w:multiLevelType w:val="hybridMultilevel"/>
    <w:tmpl w:val="5F84A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656A72"/>
    <w:multiLevelType w:val="hybridMultilevel"/>
    <w:tmpl w:val="B48CFA10"/>
    <w:lvl w:ilvl="0" w:tplc="DEB2EFF8">
      <w:start w:val="1"/>
      <w:numFmt w:val="bullet"/>
      <w:lvlText w:val="•"/>
      <w:lvlJc w:val="left"/>
      <w:pPr>
        <w:tabs>
          <w:tab w:val="num" w:pos="720"/>
        </w:tabs>
        <w:ind w:left="720" w:hanging="360"/>
      </w:pPr>
      <w:rPr>
        <w:rFonts w:ascii="Arial" w:hAnsi="Arial" w:hint="default"/>
      </w:rPr>
    </w:lvl>
    <w:lvl w:ilvl="1" w:tplc="98B2623C">
      <w:start w:val="2392"/>
      <w:numFmt w:val="bullet"/>
      <w:lvlText w:val="–"/>
      <w:lvlJc w:val="left"/>
      <w:pPr>
        <w:tabs>
          <w:tab w:val="num" w:pos="1440"/>
        </w:tabs>
        <w:ind w:left="1440" w:hanging="360"/>
      </w:pPr>
      <w:rPr>
        <w:rFonts w:ascii="Arial" w:hAnsi="Arial" w:hint="default"/>
      </w:rPr>
    </w:lvl>
    <w:lvl w:ilvl="2" w:tplc="3752BB08">
      <w:start w:val="2392"/>
      <w:numFmt w:val="bullet"/>
      <w:lvlText w:val="•"/>
      <w:lvlJc w:val="left"/>
      <w:pPr>
        <w:tabs>
          <w:tab w:val="num" w:pos="2160"/>
        </w:tabs>
        <w:ind w:left="2160" w:hanging="360"/>
      </w:pPr>
      <w:rPr>
        <w:rFonts w:ascii="Arial" w:hAnsi="Arial" w:hint="default"/>
      </w:rPr>
    </w:lvl>
    <w:lvl w:ilvl="3" w:tplc="B526E9CE" w:tentative="1">
      <w:start w:val="1"/>
      <w:numFmt w:val="bullet"/>
      <w:lvlText w:val="•"/>
      <w:lvlJc w:val="left"/>
      <w:pPr>
        <w:tabs>
          <w:tab w:val="num" w:pos="2880"/>
        </w:tabs>
        <w:ind w:left="2880" w:hanging="360"/>
      </w:pPr>
      <w:rPr>
        <w:rFonts w:ascii="Arial" w:hAnsi="Arial" w:hint="default"/>
      </w:rPr>
    </w:lvl>
    <w:lvl w:ilvl="4" w:tplc="16E6B95A" w:tentative="1">
      <w:start w:val="1"/>
      <w:numFmt w:val="bullet"/>
      <w:lvlText w:val="•"/>
      <w:lvlJc w:val="left"/>
      <w:pPr>
        <w:tabs>
          <w:tab w:val="num" w:pos="3600"/>
        </w:tabs>
        <w:ind w:left="3600" w:hanging="360"/>
      </w:pPr>
      <w:rPr>
        <w:rFonts w:ascii="Arial" w:hAnsi="Arial" w:hint="default"/>
      </w:rPr>
    </w:lvl>
    <w:lvl w:ilvl="5" w:tplc="260C0D46" w:tentative="1">
      <w:start w:val="1"/>
      <w:numFmt w:val="bullet"/>
      <w:lvlText w:val="•"/>
      <w:lvlJc w:val="left"/>
      <w:pPr>
        <w:tabs>
          <w:tab w:val="num" w:pos="4320"/>
        </w:tabs>
        <w:ind w:left="4320" w:hanging="360"/>
      </w:pPr>
      <w:rPr>
        <w:rFonts w:ascii="Arial" w:hAnsi="Arial" w:hint="default"/>
      </w:rPr>
    </w:lvl>
    <w:lvl w:ilvl="6" w:tplc="8A624498" w:tentative="1">
      <w:start w:val="1"/>
      <w:numFmt w:val="bullet"/>
      <w:lvlText w:val="•"/>
      <w:lvlJc w:val="left"/>
      <w:pPr>
        <w:tabs>
          <w:tab w:val="num" w:pos="5040"/>
        </w:tabs>
        <w:ind w:left="5040" w:hanging="360"/>
      </w:pPr>
      <w:rPr>
        <w:rFonts w:ascii="Arial" w:hAnsi="Arial" w:hint="default"/>
      </w:rPr>
    </w:lvl>
    <w:lvl w:ilvl="7" w:tplc="F1C0FC60" w:tentative="1">
      <w:start w:val="1"/>
      <w:numFmt w:val="bullet"/>
      <w:lvlText w:val="•"/>
      <w:lvlJc w:val="left"/>
      <w:pPr>
        <w:tabs>
          <w:tab w:val="num" w:pos="5760"/>
        </w:tabs>
        <w:ind w:left="5760" w:hanging="360"/>
      </w:pPr>
      <w:rPr>
        <w:rFonts w:ascii="Arial" w:hAnsi="Arial" w:hint="default"/>
      </w:rPr>
    </w:lvl>
    <w:lvl w:ilvl="8" w:tplc="79CC0332" w:tentative="1">
      <w:start w:val="1"/>
      <w:numFmt w:val="bullet"/>
      <w:lvlText w:val="•"/>
      <w:lvlJc w:val="left"/>
      <w:pPr>
        <w:tabs>
          <w:tab w:val="num" w:pos="6480"/>
        </w:tabs>
        <w:ind w:left="6480" w:hanging="360"/>
      </w:pPr>
      <w:rPr>
        <w:rFonts w:ascii="Arial" w:hAnsi="Arial" w:hint="default"/>
      </w:rPr>
    </w:lvl>
  </w:abstractNum>
  <w:abstractNum w:abstractNumId="29">
    <w:nsid w:val="5EB75D34"/>
    <w:multiLevelType w:val="hybridMultilevel"/>
    <w:tmpl w:val="CAA23E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5F05F1"/>
    <w:multiLevelType w:val="hybridMultilevel"/>
    <w:tmpl w:val="2BB2A8CC"/>
    <w:lvl w:ilvl="0" w:tplc="79ECDB24">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nsid w:val="64265E3D"/>
    <w:multiLevelType w:val="hybridMultilevel"/>
    <w:tmpl w:val="0DF03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7916A6D"/>
    <w:multiLevelType w:val="hybridMultilevel"/>
    <w:tmpl w:val="8728ABAE"/>
    <w:lvl w:ilvl="0" w:tplc="ACC460FE">
      <w:numFmt w:val="bullet"/>
      <w:lvlText w:val="-"/>
      <w:lvlJc w:val="left"/>
      <w:pPr>
        <w:ind w:left="720" w:hanging="360"/>
      </w:pPr>
      <w:rPr>
        <w:rFonts w:ascii="Calibri" w:eastAsia="SimSun" w:hAnsi="Calibri" w:cs="Calibri" w:hint="default"/>
        <w:color w:val="1F497D"/>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6BF96C0F"/>
    <w:multiLevelType w:val="hybridMultilevel"/>
    <w:tmpl w:val="A5426604"/>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nsid w:val="6E0A3F80"/>
    <w:multiLevelType w:val="hybridMultilevel"/>
    <w:tmpl w:val="A484CC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F8474C8"/>
    <w:multiLevelType w:val="hybridMultilevel"/>
    <w:tmpl w:val="8CCE1C14"/>
    <w:lvl w:ilvl="0" w:tplc="4D2033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7053A3B"/>
    <w:multiLevelType w:val="hybridMultilevel"/>
    <w:tmpl w:val="50A64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39"/>
  </w:num>
  <w:num w:numId="2">
    <w:abstractNumId w:val="8"/>
  </w:num>
  <w:num w:numId="3">
    <w:abstractNumId w:val="15"/>
  </w:num>
  <w:num w:numId="4">
    <w:abstractNumId w:val="18"/>
  </w:num>
  <w:num w:numId="5">
    <w:abstractNumId w:val="28"/>
  </w:num>
  <w:num w:numId="6">
    <w:abstractNumId w:val="7"/>
  </w:num>
  <w:num w:numId="7">
    <w:abstractNumId w:val="39"/>
  </w:num>
  <w:num w:numId="8">
    <w:abstractNumId w:val="12"/>
  </w:num>
  <w:num w:numId="9">
    <w:abstractNumId w:val="40"/>
  </w:num>
  <w:num w:numId="10">
    <w:abstractNumId w:val="34"/>
  </w:num>
  <w:num w:numId="11">
    <w:abstractNumId w:val="30"/>
  </w:num>
  <w:num w:numId="12">
    <w:abstractNumId w:val="0"/>
  </w:num>
  <w:num w:numId="13">
    <w:abstractNumId w:val="29"/>
  </w:num>
  <w:num w:numId="14">
    <w:abstractNumId w:val="21"/>
  </w:num>
  <w:num w:numId="15">
    <w:abstractNumId w:val="13"/>
  </w:num>
  <w:num w:numId="16">
    <w:abstractNumId w:val="1"/>
  </w:num>
  <w:num w:numId="17">
    <w:abstractNumId w:val="2"/>
  </w:num>
  <w:num w:numId="18">
    <w:abstractNumId w:val="25"/>
  </w:num>
  <w:num w:numId="19">
    <w:abstractNumId w:val="9"/>
  </w:num>
  <w:num w:numId="20">
    <w:abstractNumId w:val="19"/>
  </w:num>
  <w:num w:numId="21">
    <w:abstractNumId w:val="11"/>
  </w:num>
  <w:num w:numId="22">
    <w:abstractNumId w:val="26"/>
  </w:num>
  <w:num w:numId="23">
    <w:abstractNumId w:val="23"/>
  </w:num>
  <w:num w:numId="24">
    <w:abstractNumId w:val="24"/>
  </w:num>
  <w:num w:numId="25">
    <w:abstractNumId w:val="22"/>
  </w:num>
  <w:num w:numId="26">
    <w:abstractNumId w:val="3"/>
  </w:num>
  <w:num w:numId="27">
    <w:abstractNumId w:val="38"/>
  </w:num>
  <w:num w:numId="28">
    <w:abstractNumId w:val="20"/>
  </w:num>
  <w:num w:numId="29">
    <w:abstractNumId w:val="36"/>
  </w:num>
  <w:num w:numId="30">
    <w:abstractNumId w:val="10"/>
  </w:num>
  <w:num w:numId="31">
    <w:abstractNumId w:val="6"/>
  </w:num>
  <w:num w:numId="32">
    <w:abstractNumId w:val="17"/>
  </w:num>
  <w:num w:numId="33">
    <w:abstractNumId w:val="33"/>
  </w:num>
  <w:num w:numId="34">
    <w:abstractNumId w:val="27"/>
  </w:num>
  <w:num w:numId="35">
    <w:abstractNumId w:val="16"/>
  </w:num>
  <w:num w:numId="36">
    <w:abstractNumId w:val="14"/>
  </w:num>
  <w:num w:numId="37">
    <w:abstractNumId w:val="32"/>
  </w:num>
  <w:num w:numId="38">
    <w:abstractNumId w:val="35"/>
  </w:num>
  <w:num w:numId="39">
    <w:abstractNumId w:val="5"/>
  </w:num>
  <w:num w:numId="40">
    <w:abstractNumId w:val="4"/>
  </w:num>
  <w:num w:numId="41">
    <w:abstractNumId w:val="31"/>
  </w:num>
  <w:num w:numId="42">
    <w:abstractNumId w:val="37"/>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FEB"/>
    <w:rsid w:val="00015D7C"/>
    <w:rsid w:val="00016953"/>
    <w:rsid w:val="0004460C"/>
    <w:rsid w:val="0005697D"/>
    <w:rsid w:val="00083C64"/>
    <w:rsid w:val="000927A8"/>
    <w:rsid w:val="000A77CD"/>
    <w:rsid w:val="000C1F51"/>
    <w:rsid w:val="000C4D7C"/>
    <w:rsid w:val="000D3FEB"/>
    <w:rsid w:val="000E557E"/>
    <w:rsid w:val="00102F2C"/>
    <w:rsid w:val="0016041A"/>
    <w:rsid w:val="001719D8"/>
    <w:rsid w:val="001740AD"/>
    <w:rsid w:val="00175EC2"/>
    <w:rsid w:val="001954DB"/>
    <w:rsid w:val="001B2088"/>
    <w:rsid w:val="001D7BD6"/>
    <w:rsid w:val="00205468"/>
    <w:rsid w:val="002331B8"/>
    <w:rsid w:val="002335B8"/>
    <w:rsid w:val="00247958"/>
    <w:rsid w:val="00295FCC"/>
    <w:rsid w:val="002A1099"/>
    <w:rsid w:val="002A421C"/>
    <w:rsid w:val="002A56A0"/>
    <w:rsid w:val="002C0AFF"/>
    <w:rsid w:val="002C698F"/>
    <w:rsid w:val="002C7A9D"/>
    <w:rsid w:val="002D01D1"/>
    <w:rsid w:val="002D4C4D"/>
    <w:rsid w:val="002D52DF"/>
    <w:rsid w:val="002F00C3"/>
    <w:rsid w:val="002F2AF1"/>
    <w:rsid w:val="003079D7"/>
    <w:rsid w:val="0032289E"/>
    <w:rsid w:val="00324A7A"/>
    <w:rsid w:val="00327F01"/>
    <w:rsid w:val="00350BC7"/>
    <w:rsid w:val="00364695"/>
    <w:rsid w:val="0036787F"/>
    <w:rsid w:val="003704BD"/>
    <w:rsid w:val="0037092D"/>
    <w:rsid w:val="00376A1D"/>
    <w:rsid w:val="0038270F"/>
    <w:rsid w:val="003F68FD"/>
    <w:rsid w:val="00415CF8"/>
    <w:rsid w:val="004170B3"/>
    <w:rsid w:val="00470B4C"/>
    <w:rsid w:val="0047238A"/>
    <w:rsid w:val="00475509"/>
    <w:rsid w:val="004801DE"/>
    <w:rsid w:val="004877F4"/>
    <w:rsid w:val="004B422F"/>
    <w:rsid w:val="004B6E1C"/>
    <w:rsid w:val="004C124D"/>
    <w:rsid w:val="00500656"/>
    <w:rsid w:val="0051040B"/>
    <w:rsid w:val="00515506"/>
    <w:rsid w:val="0054454E"/>
    <w:rsid w:val="00551D83"/>
    <w:rsid w:val="00593049"/>
    <w:rsid w:val="005A0C32"/>
    <w:rsid w:val="005D3BB7"/>
    <w:rsid w:val="005D6E3C"/>
    <w:rsid w:val="005E028A"/>
    <w:rsid w:val="005E055B"/>
    <w:rsid w:val="005E2583"/>
    <w:rsid w:val="00661A34"/>
    <w:rsid w:val="006A6B21"/>
    <w:rsid w:val="006A7F8B"/>
    <w:rsid w:val="006E3BD6"/>
    <w:rsid w:val="00702143"/>
    <w:rsid w:val="00706709"/>
    <w:rsid w:val="007470B8"/>
    <w:rsid w:val="00753F9D"/>
    <w:rsid w:val="00775223"/>
    <w:rsid w:val="00776314"/>
    <w:rsid w:val="00787096"/>
    <w:rsid w:val="00787F69"/>
    <w:rsid w:val="00794B91"/>
    <w:rsid w:val="007A79C4"/>
    <w:rsid w:val="007E3A2C"/>
    <w:rsid w:val="0082451F"/>
    <w:rsid w:val="00833C1F"/>
    <w:rsid w:val="00853E9E"/>
    <w:rsid w:val="00871A9A"/>
    <w:rsid w:val="00890C0B"/>
    <w:rsid w:val="00891F6D"/>
    <w:rsid w:val="00892C2C"/>
    <w:rsid w:val="008A28AE"/>
    <w:rsid w:val="008B706E"/>
    <w:rsid w:val="008C254D"/>
    <w:rsid w:val="008D0830"/>
    <w:rsid w:val="008E5AEB"/>
    <w:rsid w:val="008E6B5E"/>
    <w:rsid w:val="008F7C1B"/>
    <w:rsid w:val="00901C4D"/>
    <w:rsid w:val="0090367C"/>
    <w:rsid w:val="00905EAF"/>
    <w:rsid w:val="00914B51"/>
    <w:rsid w:val="00946488"/>
    <w:rsid w:val="009464DC"/>
    <w:rsid w:val="00953FE9"/>
    <w:rsid w:val="009552EB"/>
    <w:rsid w:val="00985DE5"/>
    <w:rsid w:val="0098645D"/>
    <w:rsid w:val="0099160B"/>
    <w:rsid w:val="00991760"/>
    <w:rsid w:val="009A48F3"/>
    <w:rsid w:val="009B6F16"/>
    <w:rsid w:val="009C1D1B"/>
    <w:rsid w:val="009C7DD9"/>
    <w:rsid w:val="009D5BFE"/>
    <w:rsid w:val="00A219D6"/>
    <w:rsid w:val="00A37D68"/>
    <w:rsid w:val="00A543CD"/>
    <w:rsid w:val="00A7069E"/>
    <w:rsid w:val="00A83DAA"/>
    <w:rsid w:val="00AA34BC"/>
    <w:rsid w:val="00AB6FC7"/>
    <w:rsid w:val="00AB7A0C"/>
    <w:rsid w:val="00AE4E21"/>
    <w:rsid w:val="00AF47A5"/>
    <w:rsid w:val="00AF708E"/>
    <w:rsid w:val="00B15F44"/>
    <w:rsid w:val="00B20383"/>
    <w:rsid w:val="00B30865"/>
    <w:rsid w:val="00B31072"/>
    <w:rsid w:val="00B31134"/>
    <w:rsid w:val="00B5045C"/>
    <w:rsid w:val="00B60D76"/>
    <w:rsid w:val="00B83B20"/>
    <w:rsid w:val="00B83C26"/>
    <w:rsid w:val="00B87B6D"/>
    <w:rsid w:val="00BA7A6C"/>
    <w:rsid w:val="00BB18D0"/>
    <w:rsid w:val="00BC3F4F"/>
    <w:rsid w:val="00BC4672"/>
    <w:rsid w:val="00BD6497"/>
    <w:rsid w:val="00BF73C1"/>
    <w:rsid w:val="00C445AA"/>
    <w:rsid w:val="00C5320B"/>
    <w:rsid w:val="00C537D5"/>
    <w:rsid w:val="00C603D8"/>
    <w:rsid w:val="00C658DD"/>
    <w:rsid w:val="00C95E79"/>
    <w:rsid w:val="00CA3C05"/>
    <w:rsid w:val="00CA6E09"/>
    <w:rsid w:val="00CB7E92"/>
    <w:rsid w:val="00CC57AA"/>
    <w:rsid w:val="00CD3FD9"/>
    <w:rsid w:val="00CF5E33"/>
    <w:rsid w:val="00D30265"/>
    <w:rsid w:val="00D47968"/>
    <w:rsid w:val="00D64CA9"/>
    <w:rsid w:val="00D82688"/>
    <w:rsid w:val="00D86DAE"/>
    <w:rsid w:val="00D91671"/>
    <w:rsid w:val="00D95DDD"/>
    <w:rsid w:val="00DA0BAF"/>
    <w:rsid w:val="00DD072B"/>
    <w:rsid w:val="00DD24AB"/>
    <w:rsid w:val="00DD4528"/>
    <w:rsid w:val="00DD761F"/>
    <w:rsid w:val="00DE037F"/>
    <w:rsid w:val="00DE74DB"/>
    <w:rsid w:val="00DF44C9"/>
    <w:rsid w:val="00E10D16"/>
    <w:rsid w:val="00E23C85"/>
    <w:rsid w:val="00E27C9F"/>
    <w:rsid w:val="00E37E8F"/>
    <w:rsid w:val="00E5791A"/>
    <w:rsid w:val="00E62924"/>
    <w:rsid w:val="00E636B0"/>
    <w:rsid w:val="00E74CA5"/>
    <w:rsid w:val="00E813AB"/>
    <w:rsid w:val="00EC1526"/>
    <w:rsid w:val="00EC501D"/>
    <w:rsid w:val="00EC61DA"/>
    <w:rsid w:val="00EC7B0D"/>
    <w:rsid w:val="00F00FF8"/>
    <w:rsid w:val="00F02558"/>
    <w:rsid w:val="00F04276"/>
    <w:rsid w:val="00F255C2"/>
    <w:rsid w:val="00F31035"/>
    <w:rsid w:val="00F337C4"/>
    <w:rsid w:val="00F3567F"/>
    <w:rsid w:val="00F41B2F"/>
    <w:rsid w:val="00F45320"/>
    <w:rsid w:val="00F57CE0"/>
    <w:rsid w:val="00F64177"/>
    <w:rsid w:val="00F87CF8"/>
    <w:rsid w:val="00FA5206"/>
    <w:rsid w:val="00FB165A"/>
    <w:rsid w:val="00FB6508"/>
    <w:rsid w:val="00FC513A"/>
    <w:rsid w:val="00FD06C7"/>
    <w:rsid w:val="00FD7472"/>
    <w:rsid w:val="00FE66C9"/>
    <w:rsid w:val="00FF34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EDA515-1842-4327-AAED-4792CF00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2D4C4D"/>
    <w:pPr>
      <w:numPr>
        <w:ilvl w:val="0"/>
        <w:numId w:val="0"/>
      </w:numPr>
      <w:overflowPunct w:val="0"/>
      <w:autoSpaceDE w:val="0"/>
      <w:autoSpaceDN w:val="0"/>
      <w:adjustRightInd w:val="0"/>
      <w:ind w:left="1985" w:hanging="1985"/>
      <w:textAlignment w:val="baseline"/>
      <w:outlineLvl w:val="5"/>
    </w:pPr>
    <w:rPr>
      <w:rFonts w:eastAsia="Times New Roman"/>
      <w:lang w:eastAsia="en-GB"/>
    </w:rPr>
  </w:style>
  <w:style w:type="paragraph" w:styleId="Heading7">
    <w:name w:val="heading 7"/>
    <w:basedOn w:val="H6"/>
    <w:next w:val="Normal"/>
    <w:link w:val="Heading7Char"/>
    <w:qFormat/>
    <w:rsid w:val="002D4C4D"/>
    <w:pPr>
      <w:numPr>
        <w:ilvl w:val="0"/>
        <w:numId w:val="0"/>
      </w:numPr>
      <w:overflowPunct w:val="0"/>
      <w:autoSpaceDE w:val="0"/>
      <w:autoSpaceDN w:val="0"/>
      <w:adjustRightInd w:val="0"/>
      <w:ind w:left="1985" w:hanging="1985"/>
      <w:textAlignment w:val="baseline"/>
      <w:outlineLvl w:val="6"/>
    </w:pPr>
    <w:rPr>
      <w:rFonts w:eastAsia="Times New Roman"/>
      <w:lang w:eastAsia="en-GB"/>
    </w:rPr>
  </w:style>
  <w:style w:type="paragraph" w:styleId="Heading8">
    <w:name w:val="heading 8"/>
    <w:basedOn w:val="Heading1"/>
    <w:next w:val="Normal"/>
    <w:link w:val="Heading8Char"/>
    <w:qFormat/>
    <w:rsid w:val="002D4C4D"/>
    <w:pPr>
      <w:keepLines/>
      <w:numPr>
        <w:numId w:val="0"/>
      </w:num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b w:val="0"/>
      <w:bCs w:val="0"/>
      <w:kern w:val="0"/>
      <w:sz w:val="36"/>
      <w:szCs w:val="20"/>
      <w:lang w:val="en-GB" w:eastAsia="en-GB"/>
    </w:rPr>
  </w:style>
  <w:style w:type="paragraph" w:styleId="Heading9">
    <w:name w:val="heading 9"/>
    <w:basedOn w:val="Heading8"/>
    <w:next w:val="Normal"/>
    <w:link w:val="Heading9Char"/>
    <w:qFormat/>
    <w:rsid w:val="002D4C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A56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A56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ind w:left="567" w:hanging="567"/>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A56A0"/>
    <w:rPr>
      <w:b/>
      <w:bCs/>
      <w:szCs w:val="20"/>
    </w:rPr>
  </w:style>
  <w:style w:type="character" w:customStyle="1" w:styleId="Heading5Char">
    <w:name w:val="Heading 5 Char"/>
    <w:aliases w:val="h5 Char,Heading5 Char"/>
    <w:basedOn w:val="DefaultParagraphFont"/>
    <w:link w:val="Heading5"/>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semiHidden/>
    <w:unhideWhenUsed/>
    <w:rsid w:val="002A56A0"/>
    <w:rPr>
      <w:rFonts w:ascii="Tahoma" w:hAnsi="Tahoma" w:cs="Tahoma"/>
      <w:sz w:val="16"/>
      <w:szCs w:val="16"/>
    </w:rPr>
  </w:style>
  <w:style w:type="character" w:customStyle="1" w:styleId="BalloonTextChar">
    <w:name w:val="Balloon Text Char"/>
    <w:basedOn w:val="DefaultParagraphFont"/>
    <w:link w:val="BalloonText"/>
    <w:semiHidden/>
    <w:rsid w:val="002A56A0"/>
    <w:rPr>
      <w:rFonts w:ascii="Tahoma" w:eastAsia="Times New Roman" w:hAnsi="Tahoma" w:cs="Tahoma"/>
      <w:sz w:val="16"/>
      <w:szCs w:val="16"/>
    </w:rPr>
  </w:style>
  <w:style w:type="character" w:customStyle="1" w:styleId="Heading6Char">
    <w:name w:val="Heading 6 Char"/>
    <w:basedOn w:val="DefaultParagraphFont"/>
    <w:link w:val="Heading6"/>
    <w:rsid w:val="002D4C4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D4C4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D4C4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D4C4D"/>
    <w:rPr>
      <w:rFonts w:ascii="Arial" w:eastAsia="Times New Roman" w:hAnsi="Arial" w:cs="Times New Roman"/>
      <w:sz w:val="36"/>
      <w:szCs w:val="20"/>
      <w:lang w:val="en-GB" w:eastAsia="en-GB"/>
    </w:rPr>
  </w:style>
  <w:style w:type="paragraph" w:customStyle="1" w:styleId="StatementBody">
    <w:name w:val="Statement Body"/>
    <w:basedOn w:val="Bibliography"/>
    <w:link w:val="StatementBodyChar"/>
    <w:rsid w:val="002D4C4D"/>
    <w:pPr>
      <w:numPr>
        <w:numId w:val="9"/>
      </w:numPr>
      <w:spacing w:after="100" w:afterAutospacing="1"/>
      <w:contextualSpacing/>
    </w:pPr>
    <w:rPr>
      <w:lang w:eastAsia="ko-KR"/>
    </w:rPr>
  </w:style>
  <w:style w:type="character" w:customStyle="1" w:styleId="StatementBodyChar">
    <w:name w:val="Statement Body Char"/>
    <w:link w:val="StatementBody"/>
    <w:rsid w:val="002D4C4D"/>
    <w:rPr>
      <w:rFonts w:ascii="Times New Roman" w:eastAsia="Times New Roman" w:hAnsi="Times New Roman" w:cs="Times New Roman"/>
      <w:szCs w:val="24"/>
      <w:lang w:eastAsia="ko-KR"/>
    </w:rPr>
  </w:style>
  <w:style w:type="paragraph" w:styleId="Bibliography">
    <w:name w:val="Bibliography"/>
    <w:basedOn w:val="Normal"/>
    <w:next w:val="Normal"/>
    <w:uiPriority w:val="37"/>
    <w:semiHidden/>
    <w:unhideWhenUsed/>
    <w:rsid w:val="002D4C4D"/>
  </w:style>
  <w:style w:type="character" w:styleId="CommentReference">
    <w:name w:val="annotation reference"/>
    <w:semiHidden/>
    <w:unhideWhenUsed/>
    <w:rsid w:val="002D4C4D"/>
    <w:rPr>
      <w:sz w:val="16"/>
      <w:szCs w:val="16"/>
    </w:rPr>
  </w:style>
  <w:style w:type="paragraph" w:styleId="CommentText">
    <w:name w:val="annotation text"/>
    <w:basedOn w:val="Normal"/>
    <w:link w:val="CommentTextChar"/>
    <w:semiHidden/>
    <w:unhideWhenUsed/>
    <w:rsid w:val="002D4C4D"/>
    <w:rPr>
      <w:sz w:val="20"/>
      <w:szCs w:val="20"/>
    </w:rPr>
  </w:style>
  <w:style w:type="character" w:customStyle="1" w:styleId="CommentTextChar">
    <w:name w:val="Comment Text Char"/>
    <w:basedOn w:val="DefaultParagraphFont"/>
    <w:link w:val="CommentText"/>
    <w:semiHidden/>
    <w:rsid w:val="002D4C4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D4C4D"/>
    <w:rPr>
      <w:b/>
      <w:bCs/>
    </w:rPr>
  </w:style>
  <w:style w:type="character" w:customStyle="1" w:styleId="CommentSubjectChar">
    <w:name w:val="Comment Subject Char"/>
    <w:basedOn w:val="CommentTextChar"/>
    <w:link w:val="CommentSubject"/>
    <w:semiHidden/>
    <w:rsid w:val="002D4C4D"/>
    <w:rPr>
      <w:rFonts w:ascii="Times New Roman" w:eastAsia="Times New Roman" w:hAnsi="Times New Roman" w:cs="Times New Roman"/>
      <w:b/>
      <w:bCs/>
      <w:sz w:val="20"/>
      <w:szCs w:val="20"/>
    </w:rPr>
  </w:style>
  <w:style w:type="paragraph" w:styleId="TOC2">
    <w:name w:val="toc 2"/>
    <w:basedOn w:val="TOC1"/>
    <w:next w:val="Normal"/>
    <w:autoRedefine/>
    <w:semiHidden/>
    <w:rsid w:val="002D4C4D"/>
    <w:pPr>
      <w:tabs>
        <w:tab w:val="right" w:leader="dot" w:pos="10206"/>
      </w:tabs>
      <w:ind w:left="3403" w:hanging="851"/>
    </w:pPr>
    <w:rPr>
      <w:rFonts w:ascii="Arial" w:eastAsia="SimSun" w:hAnsi="Arial"/>
      <w:noProof/>
      <w:szCs w:val="20"/>
    </w:rPr>
  </w:style>
  <w:style w:type="paragraph" w:styleId="TOC1">
    <w:name w:val="toc 1"/>
    <w:basedOn w:val="Normal"/>
    <w:next w:val="Normal"/>
    <w:autoRedefine/>
    <w:semiHidden/>
    <w:unhideWhenUsed/>
    <w:rsid w:val="002D4C4D"/>
  </w:style>
  <w:style w:type="numbering" w:customStyle="1" w:styleId="NoList1">
    <w:name w:val="No List1"/>
    <w:next w:val="NoList"/>
    <w:uiPriority w:val="99"/>
    <w:semiHidden/>
    <w:unhideWhenUsed/>
    <w:rsid w:val="002D4C4D"/>
  </w:style>
  <w:style w:type="paragraph" w:customStyle="1" w:styleId="References">
    <w:name w:val="References"/>
    <w:basedOn w:val="Normal"/>
    <w:next w:val="Normal"/>
    <w:rsid w:val="002D4C4D"/>
    <w:pPr>
      <w:numPr>
        <w:numId w:val="20"/>
      </w:numPr>
      <w:tabs>
        <w:tab w:val="clear" w:pos="360"/>
      </w:tabs>
      <w:autoSpaceDE w:val="0"/>
      <w:autoSpaceDN w:val="0"/>
      <w:snapToGrid w:val="0"/>
      <w:spacing w:after="60"/>
      <w:ind w:left="432" w:hanging="432"/>
    </w:pPr>
    <w:rPr>
      <w:rFonts w:eastAsia="SimSun"/>
      <w:sz w:val="20"/>
      <w:szCs w:val="16"/>
    </w:rPr>
  </w:style>
  <w:style w:type="paragraph" w:styleId="TOC9">
    <w:name w:val="toc 9"/>
    <w:basedOn w:val="TOC8"/>
    <w:semiHidden/>
    <w:rsid w:val="002D4C4D"/>
    <w:pPr>
      <w:ind w:left="1418" w:hanging="1418"/>
    </w:pPr>
  </w:style>
  <w:style w:type="paragraph" w:styleId="TOC8">
    <w:name w:val="toc 8"/>
    <w:basedOn w:val="TOC1"/>
    <w:semiHidden/>
    <w:rsid w:val="002D4C4D"/>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Cs w:val="20"/>
      <w:lang w:val="en-GB" w:eastAsia="en-GB"/>
    </w:rPr>
  </w:style>
  <w:style w:type="paragraph" w:customStyle="1" w:styleId="EQ">
    <w:name w:val="EQ"/>
    <w:basedOn w:val="Normal"/>
    <w:next w:val="Normal"/>
    <w:rsid w:val="002D4C4D"/>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2D4C4D"/>
  </w:style>
  <w:style w:type="paragraph" w:customStyle="1" w:styleId="ZD">
    <w:name w:val="ZD"/>
    <w:rsid w:val="002D4C4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semiHidden/>
    <w:rsid w:val="002D4C4D"/>
    <w:pPr>
      <w:ind w:left="1701" w:hanging="1701"/>
    </w:pPr>
  </w:style>
  <w:style w:type="paragraph" w:styleId="TOC4">
    <w:name w:val="toc 4"/>
    <w:basedOn w:val="TOC3"/>
    <w:semiHidden/>
    <w:rsid w:val="002D4C4D"/>
    <w:pPr>
      <w:ind w:left="1418" w:hanging="1418"/>
    </w:pPr>
  </w:style>
  <w:style w:type="paragraph" w:styleId="TOC3">
    <w:name w:val="toc 3"/>
    <w:basedOn w:val="TOC2"/>
    <w:semiHidden/>
    <w:rsid w:val="002D4C4D"/>
    <w:pPr>
      <w:keepLines/>
      <w:widowControl w:val="0"/>
      <w:tabs>
        <w:tab w:val="clear" w:pos="10206"/>
        <w:tab w:val="right" w:leader="dot" w:pos="9639"/>
      </w:tabs>
      <w:overflowPunct w:val="0"/>
      <w:autoSpaceDE w:val="0"/>
      <w:autoSpaceDN w:val="0"/>
      <w:adjustRightInd w:val="0"/>
      <w:ind w:left="1134" w:right="425" w:hanging="1134"/>
      <w:textAlignment w:val="baseline"/>
    </w:pPr>
    <w:rPr>
      <w:rFonts w:ascii="Times New Roman" w:eastAsia="Times New Roman" w:hAnsi="Times New Roman"/>
      <w:sz w:val="20"/>
      <w:lang w:val="en-GB" w:eastAsia="en-GB"/>
    </w:rPr>
  </w:style>
  <w:style w:type="paragraph" w:styleId="Index1">
    <w:name w:val="index 1"/>
    <w:basedOn w:val="Normal"/>
    <w:semiHidden/>
    <w:rsid w:val="002D4C4D"/>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2D4C4D"/>
    <w:pPr>
      <w:ind w:left="284"/>
    </w:pPr>
  </w:style>
  <w:style w:type="paragraph" w:customStyle="1" w:styleId="TT">
    <w:name w:val="TT"/>
    <w:basedOn w:val="Heading1"/>
    <w:next w:val="Normal"/>
    <w:rsid w:val="002D4C4D"/>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b w:val="0"/>
      <w:bCs w:val="0"/>
      <w:kern w:val="0"/>
      <w:sz w:val="36"/>
      <w:szCs w:val="20"/>
      <w:lang w:val="en-GB" w:eastAsia="en-GB"/>
    </w:rPr>
  </w:style>
  <w:style w:type="paragraph" w:styleId="Footer">
    <w:name w:val="footer"/>
    <w:basedOn w:val="Header"/>
    <w:link w:val="FooterChar"/>
    <w:rsid w:val="002D4C4D"/>
    <w:pPr>
      <w:widowControl w:val="0"/>
      <w:tabs>
        <w:tab w:val="clear" w:pos="4536"/>
        <w:tab w:val="clear" w:pos="9072"/>
      </w:tabs>
      <w:overflowPunct w:val="0"/>
      <w:autoSpaceDE w:val="0"/>
      <w:autoSpaceDN w:val="0"/>
      <w:adjustRightInd w:val="0"/>
      <w:jc w:val="center"/>
      <w:textAlignment w:val="baseline"/>
    </w:pPr>
    <w:rPr>
      <w:rFonts w:eastAsia="Times New Roman"/>
      <w:i/>
      <w:noProof/>
      <w:sz w:val="18"/>
      <w:szCs w:val="20"/>
      <w:lang w:val="en-GB" w:eastAsia="en-GB"/>
    </w:rPr>
  </w:style>
  <w:style w:type="character" w:customStyle="1" w:styleId="FooterChar">
    <w:name w:val="Footer Char"/>
    <w:basedOn w:val="DefaultParagraphFont"/>
    <w:link w:val="Footer"/>
    <w:rsid w:val="002D4C4D"/>
    <w:rPr>
      <w:rFonts w:ascii="Arial" w:eastAsia="Times New Roman" w:hAnsi="Arial" w:cs="Times New Roman"/>
      <w:b/>
      <w:i/>
      <w:noProof/>
      <w:sz w:val="18"/>
      <w:szCs w:val="20"/>
      <w:lang w:val="en-GB" w:eastAsia="en-GB"/>
    </w:rPr>
  </w:style>
  <w:style w:type="character" w:styleId="FootnoteReference">
    <w:name w:val="footnote reference"/>
    <w:semiHidden/>
    <w:rsid w:val="002D4C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D4C4D"/>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D4C4D"/>
    <w:rPr>
      <w:rFonts w:ascii="Times New Roman" w:eastAsia="Times New Roman" w:hAnsi="Times New Roman" w:cs="Times New Roman"/>
      <w:sz w:val="16"/>
      <w:szCs w:val="20"/>
      <w:lang w:val="en-GB" w:eastAsia="en-GB"/>
    </w:rPr>
  </w:style>
  <w:style w:type="paragraph" w:customStyle="1" w:styleId="NF">
    <w:name w:val="NF"/>
    <w:basedOn w:val="NO"/>
    <w:rsid w:val="002D4C4D"/>
    <w:pPr>
      <w:keepNext/>
      <w:spacing w:after="0"/>
    </w:pPr>
    <w:rPr>
      <w:rFonts w:ascii="Arial" w:hAnsi="Arial"/>
      <w:sz w:val="18"/>
    </w:rPr>
  </w:style>
  <w:style w:type="paragraph" w:customStyle="1" w:styleId="NO">
    <w:name w:val="NO"/>
    <w:basedOn w:val="Normal"/>
    <w:rsid w:val="002D4C4D"/>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2D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2D4C4D"/>
    <w:pPr>
      <w:jc w:val="right"/>
    </w:pPr>
  </w:style>
  <w:style w:type="paragraph" w:customStyle="1" w:styleId="TAL">
    <w:name w:val="TAL"/>
    <w:basedOn w:val="Normal"/>
    <w:rsid w:val="002D4C4D"/>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2D4C4D"/>
    <w:pPr>
      <w:ind w:left="851"/>
    </w:pPr>
  </w:style>
  <w:style w:type="paragraph" w:styleId="ListNumber">
    <w:name w:val="List Number"/>
    <w:basedOn w:val="List"/>
    <w:rsid w:val="002D4C4D"/>
  </w:style>
  <w:style w:type="paragraph" w:styleId="List">
    <w:name w:val="List"/>
    <w:basedOn w:val="Normal"/>
    <w:rsid w:val="002D4C4D"/>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rsid w:val="002D4C4D"/>
    <w:rPr>
      <w:b/>
    </w:rPr>
  </w:style>
  <w:style w:type="paragraph" w:customStyle="1" w:styleId="TAC">
    <w:name w:val="TAC"/>
    <w:basedOn w:val="TAL"/>
    <w:rsid w:val="002D4C4D"/>
    <w:pPr>
      <w:jc w:val="center"/>
    </w:pPr>
  </w:style>
  <w:style w:type="paragraph" w:customStyle="1" w:styleId="LD">
    <w:name w:val="LD"/>
    <w:rsid w:val="002D4C4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2D4C4D"/>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2D4C4D"/>
    <w:pPr>
      <w:overflowPunct w:val="0"/>
      <w:autoSpaceDE w:val="0"/>
      <w:autoSpaceDN w:val="0"/>
      <w:adjustRightInd w:val="0"/>
      <w:textAlignment w:val="baseline"/>
    </w:pPr>
    <w:rPr>
      <w:sz w:val="20"/>
      <w:szCs w:val="20"/>
      <w:lang w:val="en-GB" w:eastAsia="en-GB"/>
    </w:rPr>
  </w:style>
  <w:style w:type="paragraph" w:customStyle="1" w:styleId="NW">
    <w:name w:val="NW"/>
    <w:basedOn w:val="NO"/>
    <w:rsid w:val="002D4C4D"/>
    <w:pPr>
      <w:spacing w:after="0"/>
    </w:pPr>
  </w:style>
  <w:style w:type="paragraph" w:customStyle="1" w:styleId="EW">
    <w:name w:val="EW"/>
    <w:basedOn w:val="EX"/>
    <w:rsid w:val="002D4C4D"/>
    <w:pPr>
      <w:spacing w:after="0"/>
    </w:pPr>
  </w:style>
  <w:style w:type="paragraph" w:customStyle="1" w:styleId="B1">
    <w:name w:val="B1"/>
    <w:basedOn w:val="List"/>
    <w:link w:val="B1Char1"/>
    <w:rsid w:val="002D4C4D"/>
  </w:style>
  <w:style w:type="character" w:customStyle="1" w:styleId="B1Char1">
    <w:name w:val="B1 Char1"/>
    <w:link w:val="B1"/>
    <w:rsid w:val="002D4C4D"/>
    <w:rPr>
      <w:rFonts w:ascii="Times New Roman" w:eastAsia="Times New Roman" w:hAnsi="Times New Roman" w:cs="Times New Roman"/>
      <w:sz w:val="20"/>
      <w:szCs w:val="20"/>
      <w:lang w:val="en-GB" w:eastAsia="en-GB"/>
    </w:rPr>
  </w:style>
  <w:style w:type="paragraph" w:styleId="TOC6">
    <w:name w:val="toc 6"/>
    <w:basedOn w:val="TOC5"/>
    <w:next w:val="Normal"/>
    <w:semiHidden/>
    <w:rsid w:val="002D4C4D"/>
    <w:pPr>
      <w:ind w:left="1985" w:hanging="1985"/>
    </w:pPr>
  </w:style>
  <w:style w:type="paragraph" w:styleId="TOC7">
    <w:name w:val="toc 7"/>
    <w:basedOn w:val="TOC6"/>
    <w:next w:val="Normal"/>
    <w:semiHidden/>
    <w:rsid w:val="002D4C4D"/>
    <w:pPr>
      <w:ind w:left="2268" w:hanging="2268"/>
    </w:pPr>
  </w:style>
  <w:style w:type="paragraph" w:styleId="ListBullet2">
    <w:name w:val="List Bullet 2"/>
    <w:basedOn w:val="ListBullet"/>
    <w:rsid w:val="002D4C4D"/>
    <w:pPr>
      <w:ind w:left="851"/>
    </w:pPr>
  </w:style>
  <w:style w:type="paragraph" w:styleId="ListBullet">
    <w:name w:val="List Bullet"/>
    <w:basedOn w:val="List"/>
    <w:rsid w:val="002D4C4D"/>
  </w:style>
  <w:style w:type="paragraph" w:customStyle="1" w:styleId="EditorsNote">
    <w:name w:val="Editor's Note"/>
    <w:basedOn w:val="NO"/>
    <w:rsid w:val="002D4C4D"/>
    <w:rPr>
      <w:color w:val="FF0000"/>
    </w:rPr>
  </w:style>
  <w:style w:type="paragraph" w:customStyle="1" w:styleId="TH">
    <w:name w:val="TH"/>
    <w:basedOn w:val="Normal"/>
    <w:link w:val="THChar"/>
    <w:rsid w:val="002D4C4D"/>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D4C4D"/>
    <w:rPr>
      <w:rFonts w:ascii="Arial" w:eastAsia="Times New Roman" w:hAnsi="Arial" w:cs="Times New Roman"/>
      <w:b/>
      <w:sz w:val="20"/>
      <w:szCs w:val="20"/>
      <w:lang w:val="en-GB" w:eastAsia="en-GB"/>
    </w:rPr>
  </w:style>
  <w:style w:type="paragraph" w:customStyle="1" w:styleId="ZA">
    <w:name w:val="ZA"/>
    <w:rsid w:val="002D4C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D4C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D4C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D4C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2D4C4D"/>
    <w:pPr>
      <w:ind w:left="851" w:hanging="851"/>
    </w:pPr>
  </w:style>
  <w:style w:type="paragraph" w:customStyle="1" w:styleId="ZH">
    <w:name w:val="ZH"/>
    <w:rsid w:val="002D4C4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rsid w:val="002D4C4D"/>
    <w:pPr>
      <w:keepNext w:val="0"/>
      <w:spacing w:before="0" w:after="240"/>
    </w:pPr>
  </w:style>
  <w:style w:type="paragraph" w:customStyle="1" w:styleId="ZG">
    <w:name w:val="ZG"/>
    <w:rsid w:val="002D4C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Bullet3">
    <w:name w:val="List Bullet 3"/>
    <w:basedOn w:val="ListBullet2"/>
    <w:rsid w:val="002D4C4D"/>
    <w:pPr>
      <w:ind w:left="1135"/>
    </w:pPr>
  </w:style>
  <w:style w:type="paragraph" w:styleId="List2">
    <w:name w:val="List 2"/>
    <w:basedOn w:val="List"/>
    <w:rsid w:val="002D4C4D"/>
    <w:pPr>
      <w:ind w:left="851"/>
    </w:pPr>
  </w:style>
  <w:style w:type="paragraph" w:styleId="List3">
    <w:name w:val="List 3"/>
    <w:basedOn w:val="List2"/>
    <w:rsid w:val="002D4C4D"/>
    <w:pPr>
      <w:ind w:left="1135"/>
    </w:pPr>
  </w:style>
  <w:style w:type="paragraph" w:styleId="List4">
    <w:name w:val="List 4"/>
    <w:basedOn w:val="List3"/>
    <w:rsid w:val="002D4C4D"/>
    <w:pPr>
      <w:ind w:left="1418"/>
    </w:pPr>
  </w:style>
  <w:style w:type="paragraph" w:styleId="List5">
    <w:name w:val="List 5"/>
    <w:basedOn w:val="List4"/>
    <w:rsid w:val="002D4C4D"/>
    <w:pPr>
      <w:ind w:left="1702"/>
    </w:pPr>
  </w:style>
  <w:style w:type="paragraph" w:styleId="ListBullet4">
    <w:name w:val="List Bullet 4"/>
    <w:basedOn w:val="ListBullet3"/>
    <w:rsid w:val="002D4C4D"/>
    <w:pPr>
      <w:ind w:left="1418"/>
    </w:pPr>
  </w:style>
  <w:style w:type="paragraph" w:styleId="ListBullet5">
    <w:name w:val="List Bullet 5"/>
    <w:basedOn w:val="ListBullet4"/>
    <w:rsid w:val="002D4C4D"/>
    <w:pPr>
      <w:ind w:left="1702"/>
    </w:pPr>
  </w:style>
  <w:style w:type="paragraph" w:customStyle="1" w:styleId="B2">
    <w:name w:val="B2"/>
    <w:basedOn w:val="List2"/>
    <w:rsid w:val="002D4C4D"/>
  </w:style>
  <w:style w:type="paragraph" w:customStyle="1" w:styleId="B3">
    <w:name w:val="B3"/>
    <w:basedOn w:val="List3"/>
    <w:rsid w:val="002D4C4D"/>
  </w:style>
  <w:style w:type="paragraph" w:customStyle="1" w:styleId="B4">
    <w:name w:val="B4"/>
    <w:basedOn w:val="List4"/>
    <w:rsid w:val="002D4C4D"/>
  </w:style>
  <w:style w:type="paragraph" w:customStyle="1" w:styleId="B5">
    <w:name w:val="B5"/>
    <w:basedOn w:val="List5"/>
    <w:rsid w:val="002D4C4D"/>
  </w:style>
  <w:style w:type="paragraph" w:customStyle="1" w:styleId="ZTD">
    <w:name w:val="ZTD"/>
    <w:basedOn w:val="ZB"/>
    <w:rsid w:val="002D4C4D"/>
    <w:pPr>
      <w:framePr w:hRule="auto" w:wrap="notBeside" w:y="852"/>
    </w:pPr>
    <w:rPr>
      <w:i w:val="0"/>
      <w:sz w:val="40"/>
    </w:rPr>
  </w:style>
  <w:style w:type="paragraph" w:customStyle="1" w:styleId="ZV">
    <w:name w:val="ZV"/>
    <w:basedOn w:val="ZU"/>
    <w:rsid w:val="002D4C4D"/>
    <w:pPr>
      <w:framePr w:wrap="notBeside" w:y="16161"/>
    </w:pPr>
  </w:style>
  <w:style w:type="paragraph" w:styleId="IndexHeading">
    <w:name w:val="index heading"/>
    <w:basedOn w:val="Normal"/>
    <w:next w:val="Normal"/>
    <w:semiHidden/>
    <w:rsid w:val="002D4C4D"/>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2D4C4D"/>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2D4C4D"/>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2D4C4D"/>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2D4C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en-GB"/>
    </w:rPr>
  </w:style>
  <w:style w:type="paragraph" w:customStyle="1" w:styleId="RecCCITT">
    <w:name w:val="Rec_CCITT_#"/>
    <w:basedOn w:val="Normal"/>
    <w:rsid w:val="002D4C4D"/>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2D4C4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2D4C4D"/>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rsid w:val="002D4C4D"/>
    <w:rPr>
      <w:color w:val="0000FF"/>
      <w:u w:val="single"/>
    </w:rPr>
  </w:style>
  <w:style w:type="character" w:styleId="FollowedHyperlink">
    <w:name w:val="FollowedHyperlink"/>
    <w:rsid w:val="002D4C4D"/>
    <w:rPr>
      <w:color w:val="800080"/>
      <w:u w:val="single"/>
    </w:rPr>
  </w:style>
  <w:style w:type="paragraph" w:styleId="DocumentMap">
    <w:name w:val="Document Map"/>
    <w:basedOn w:val="Normal"/>
    <w:link w:val="DocumentMapChar"/>
    <w:semiHidden/>
    <w:rsid w:val="002D4C4D"/>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semiHidden/>
    <w:rsid w:val="002D4C4D"/>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rsid w:val="002D4C4D"/>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2D4C4D"/>
    <w:rPr>
      <w:rFonts w:ascii="Courier New" w:eastAsia="Times New Roman" w:hAnsi="Courier New" w:cs="Times New Roman"/>
      <w:sz w:val="20"/>
      <w:szCs w:val="20"/>
      <w:lang w:val="nb-NO" w:eastAsia="en-GB"/>
    </w:rPr>
  </w:style>
  <w:style w:type="paragraph" w:customStyle="1" w:styleId="TAJ">
    <w:name w:val="TAJ"/>
    <w:basedOn w:val="TH"/>
    <w:rsid w:val="002D4C4D"/>
  </w:style>
  <w:style w:type="paragraph" w:customStyle="1" w:styleId="Guidance">
    <w:name w:val="Guidance"/>
    <w:basedOn w:val="Normal"/>
    <w:rsid w:val="002D4C4D"/>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link w:val="BodyText2Char"/>
    <w:rsid w:val="002D4C4D"/>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character" w:customStyle="1" w:styleId="BodyText2Char">
    <w:name w:val="Body Text 2 Char"/>
    <w:basedOn w:val="DefaultParagraphFont"/>
    <w:link w:val="BodyText2"/>
    <w:rsid w:val="002D4C4D"/>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2D4C4D"/>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character" w:customStyle="1" w:styleId="BodyTextIndent2Char">
    <w:name w:val="Body Text Indent 2 Char"/>
    <w:basedOn w:val="DefaultParagraphFont"/>
    <w:link w:val="BodyTextIndent2"/>
    <w:rsid w:val="002D4C4D"/>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2D4C4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2D4C4D"/>
    <w:rPr>
      <w:rFonts w:ascii="Times New Roman" w:eastAsia="Times New Roman" w:hAnsi="Times New Roman" w:cs="Times New Roman"/>
      <w:sz w:val="20"/>
      <w:szCs w:val="20"/>
      <w:lang w:eastAsia="ja-JP"/>
    </w:rPr>
  </w:style>
  <w:style w:type="paragraph" w:customStyle="1" w:styleId="numberedlist">
    <w:name w:val="numbered list"/>
    <w:basedOn w:val="ListBullet"/>
    <w:rsid w:val="002D4C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4C4D"/>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4C4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2D4C4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2D4C4D"/>
    <w:pPr>
      <w:numPr>
        <w:numId w:val="26"/>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2D4C4D"/>
    <w:pPr>
      <w:numPr>
        <w:numId w:val="25"/>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2D4C4D"/>
    <w:pPr>
      <w:widowControl w:val="0"/>
      <w:numPr>
        <w:numId w:val="23"/>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berschrift1H1">
    <w:name w:val="Überschrift 1.H1"/>
    <w:basedOn w:val="Normal"/>
    <w:next w:val="Normal"/>
    <w:rsid w:val="002D4C4D"/>
    <w:pPr>
      <w:keepNext/>
      <w:keepLines/>
      <w:numPr>
        <w:numId w:val="24"/>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2D4C4D"/>
    <w:pPr>
      <w:widowControl/>
      <w:numPr>
        <w:numId w:val="27"/>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2D4C4D"/>
    <w:pPr>
      <w:widowControl/>
      <w:numPr>
        <w:numId w:val="0"/>
      </w:numPr>
      <w:spacing w:after="120"/>
      <w:ind w:left="720" w:hanging="360"/>
    </w:pPr>
    <w:rPr>
      <w:rFonts w:eastAsia="MS Mincho"/>
      <w:lang w:val="en-US"/>
    </w:rPr>
  </w:style>
  <w:style w:type="paragraph" w:customStyle="1" w:styleId="textintend3">
    <w:name w:val="text intend 3"/>
    <w:basedOn w:val="text"/>
    <w:rsid w:val="002D4C4D"/>
    <w:pPr>
      <w:widowControl/>
      <w:numPr>
        <w:numId w:val="0"/>
      </w:numPr>
      <w:tabs>
        <w:tab w:val="num" w:pos="720"/>
      </w:tabs>
      <w:spacing w:after="120"/>
      <w:ind w:left="720" w:hanging="360"/>
    </w:pPr>
    <w:rPr>
      <w:rFonts w:eastAsia="MS Mincho"/>
      <w:lang w:val="en-US"/>
    </w:rPr>
  </w:style>
  <w:style w:type="paragraph" w:customStyle="1" w:styleId="normalpuce">
    <w:name w:val="normal puce"/>
    <w:basedOn w:val="Normal"/>
    <w:rsid w:val="002D4C4D"/>
    <w:pPr>
      <w:widowControl w:val="0"/>
      <w:numPr>
        <w:numId w:val="28"/>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2D4C4D"/>
    <w:pPr>
      <w:numPr>
        <w:numId w:val="0"/>
      </w:numPr>
      <w:tabs>
        <w:tab w:val="num" w:pos="360"/>
      </w:tabs>
      <w:overflowPunct w:val="0"/>
      <w:autoSpaceDE w:val="0"/>
      <w:autoSpaceDN w:val="0"/>
      <w:adjustRightInd w:val="0"/>
      <w:spacing w:after="0"/>
      <w:ind w:left="360" w:hanging="360"/>
      <w:textAlignment w:val="baseline"/>
    </w:pPr>
    <w:rPr>
      <w:rFonts w:ascii="Arial" w:eastAsia="Times New Roman" w:hAnsi="Arial" w:cs="Times New Roman"/>
      <w:bCs w:val="0"/>
      <w:noProof/>
      <w:kern w:val="28"/>
      <w:sz w:val="24"/>
      <w:szCs w:val="20"/>
      <w:lang w:eastAsia="en-GB"/>
    </w:rPr>
  </w:style>
  <w:style w:type="paragraph" w:styleId="Date">
    <w:name w:val="Date"/>
    <w:basedOn w:val="Normal"/>
    <w:next w:val="Normal"/>
    <w:link w:val="DateChar"/>
    <w:rsid w:val="002D4C4D"/>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rsid w:val="002D4C4D"/>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4C4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Cs w:val="20"/>
      <w:lang w:val="fr-FR" w:eastAsia="en-GB"/>
    </w:rPr>
  </w:style>
  <w:style w:type="paragraph" w:customStyle="1" w:styleId="para">
    <w:name w:val="para"/>
    <w:basedOn w:val="Normal"/>
    <w:rsid w:val="002D4C4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2D4C4D"/>
    <w:pPr>
      <w:spacing w:after="120" w:line="240" w:lineRule="auto"/>
    </w:pPr>
    <w:rPr>
      <w:rFonts w:ascii="Arial" w:eastAsia="MS Mincho" w:hAnsi="Arial" w:cs="Times New Roman"/>
      <w:sz w:val="20"/>
      <w:szCs w:val="20"/>
      <w:lang w:val="en-GB"/>
    </w:rPr>
  </w:style>
  <w:style w:type="paragraph" w:customStyle="1" w:styleId="Cell">
    <w:name w:val="Cell"/>
    <w:basedOn w:val="Normal"/>
    <w:rsid w:val="002D4C4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0">
    <w:name w:val="b1"/>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Normal"/>
    <w:rsid w:val="002D4C4D"/>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D4C4D"/>
    <w:rPr>
      <w:i/>
      <w:color w:val="0000FF"/>
      <w:lang w:val="en-GB" w:eastAsia="ja-JP" w:bidi="ar-SA"/>
    </w:rPr>
  </w:style>
  <w:style w:type="paragraph" w:customStyle="1" w:styleId="CharCharCharChar">
    <w:name w:val="Char Char Char Char"/>
    <w:rsid w:val="002D4C4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D4C4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2D4C4D"/>
    <w:rPr>
      <w:i/>
      <w:iCs/>
    </w:rPr>
  </w:style>
  <w:style w:type="character" w:customStyle="1" w:styleId="h4CharChar">
    <w:name w:val="h4 Char Char"/>
    <w:rsid w:val="002D4C4D"/>
    <w:rPr>
      <w:rFonts w:ascii="Arial" w:hAnsi="Arial"/>
      <w:sz w:val="24"/>
      <w:lang w:val="en-GB" w:eastAsia="ja-JP" w:bidi="ar-SA"/>
    </w:rPr>
  </w:style>
  <w:style w:type="table" w:styleId="TableGrid">
    <w:name w:val="Table Grid"/>
    <w:basedOn w:val="TableNormal"/>
    <w:rsid w:val="002D4C4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D4C4D"/>
    <w:pPr>
      <w:tabs>
        <w:tab w:val="num" w:pos="2560"/>
      </w:tabs>
      <w:spacing w:after="180"/>
      <w:ind w:left="2560" w:hanging="357"/>
    </w:pPr>
    <w:rPr>
      <w:sz w:val="20"/>
      <w:szCs w:val="20"/>
      <w:lang w:val="en-AU" w:eastAsia="ko-KR"/>
    </w:rPr>
  </w:style>
  <w:style w:type="character" w:customStyle="1" w:styleId="B1Zchn">
    <w:name w:val="B1 Zchn"/>
    <w:rsid w:val="002D4C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D4C4D"/>
    <w:rPr>
      <w:rFonts w:ascii="Arial" w:eastAsia="????" w:hAnsi="Arial" w:cs="Arial"/>
      <w:color w:val="0000FF"/>
      <w:kern w:val="2"/>
      <w:lang w:val="en-US"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D4C4D"/>
    <w:rPr>
      <w:rFonts w:ascii="Times New Roman" w:eastAsia="Times New Roman" w:hAnsi="Times New Roman" w:cs="Times New Roman"/>
      <w:b/>
      <w:bCs/>
      <w:szCs w:val="20"/>
    </w:rPr>
  </w:style>
  <w:style w:type="paragraph" w:styleId="Revision">
    <w:name w:val="Revision"/>
    <w:hidden/>
    <w:uiPriority w:val="99"/>
    <w:semiHidden/>
    <w:rsid w:val="00787F69"/>
    <w:pPr>
      <w:spacing w:after="0" w:line="240" w:lineRule="auto"/>
    </w:pPr>
    <w:rPr>
      <w:rFonts w:ascii="Times New Roman" w:eastAsia="Times New Roman" w:hAnsi="Times New Roman" w:cs="Times New Roman"/>
      <w:szCs w:val="24"/>
    </w:rPr>
  </w:style>
  <w:style w:type="paragraph" w:styleId="ListParagraph">
    <w:name w:val="List Paragraph"/>
    <w:basedOn w:val="Normal"/>
    <w:uiPriority w:val="34"/>
    <w:qFormat/>
    <w:rsid w:val="00C537D5"/>
    <w:pPr>
      <w:ind w:left="720"/>
      <w:contextualSpacing/>
    </w:pPr>
  </w:style>
  <w:style w:type="character" w:customStyle="1" w:styleId="Doc-text2Char">
    <w:name w:val="Doc-text2 Char"/>
    <w:basedOn w:val="DefaultParagraphFont"/>
    <w:link w:val="Doc-text2"/>
    <w:locked/>
    <w:rsid w:val="004170B3"/>
    <w:rPr>
      <w:rFonts w:ascii="Arial" w:hAnsi="Arial" w:cs="Arial"/>
      <w:lang w:eastAsia="en-GB"/>
    </w:rPr>
  </w:style>
  <w:style w:type="paragraph" w:customStyle="1" w:styleId="Doc-text2">
    <w:name w:val="Doc-text2"/>
    <w:basedOn w:val="Normal"/>
    <w:link w:val="Doc-text2Char"/>
    <w:qFormat/>
    <w:rsid w:val="004170B3"/>
    <w:pPr>
      <w:ind w:left="1622" w:hanging="363"/>
    </w:pPr>
    <w:rPr>
      <w:rFonts w:ascii="Arial" w:eastAsiaTheme="minorHAnsi" w:hAnsi="Arial" w:cs="Arial"/>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157536">
      <w:bodyDiv w:val="1"/>
      <w:marLeft w:val="0"/>
      <w:marRight w:val="0"/>
      <w:marTop w:val="0"/>
      <w:marBottom w:val="0"/>
      <w:divBdr>
        <w:top w:val="none" w:sz="0" w:space="0" w:color="auto"/>
        <w:left w:val="none" w:sz="0" w:space="0" w:color="auto"/>
        <w:bottom w:val="none" w:sz="0" w:space="0" w:color="auto"/>
        <w:right w:val="none" w:sz="0" w:space="0" w:color="auto"/>
      </w:divBdr>
    </w:div>
    <w:div w:id="496533281">
      <w:bodyDiv w:val="1"/>
      <w:marLeft w:val="0"/>
      <w:marRight w:val="0"/>
      <w:marTop w:val="0"/>
      <w:marBottom w:val="0"/>
      <w:divBdr>
        <w:top w:val="none" w:sz="0" w:space="0" w:color="auto"/>
        <w:left w:val="none" w:sz="0" w:space="0" w:color="auto"/>
        <w:bottom w:val="none" w:sz="0" w:space="0" w:color="auto"/>
        <w:right w:val="none" w:sz="0" w:space="0" w:color="auto"/>
      </w:divBdr>
    </w:div>
    <w:div w:id="703529487">
      <w:bodyDiv w:val="1"/>
      <w:marLeft w:val="0"/>
      <w:marRight w:val="0"/>
      <w:marTop w:val="0"/>
      <w:marBottom w:val="0"/>
      <w:divBdr>
        <w:top w:val="none" w:sz="0" w:space="0" w:color="auto"/>
        <w:left w:val="none" w:sz="0" w:space="0" w:color="auto"/>
        <w:bottom w:val="none" w:sz="0" w:space="0" w:color="auto"/>
        <w:right w:val="none" w:sz="0" w:space="0" w:color="auto"/>
      </w:divBdr>
    </w:div>
    <w:div w:id="788084265">
      <w:bodyDiv w:val="1"/>
      <w:marLeft w:val="0"/>
      <w:marRight w:val="0"/>
      <w:marTop w:val="0"/>
      <w:marBottom w:val="0"/>
      <w:divBdr>
        <w:top w:val="none" w:sz="0" w:space="0" w:color="auto"/>
        <w:left w:val="none" w:sz="0" w:space="0" w:color="auto"/>
        <w:bottom w:val="none" w:sz="0" w:space="0" w:color="auto"/>
        <w:right w:val="none" w:sz="0" w:space="0" w:color="auto"/>
      </w:divBdr>
    </w:div>
    <w:div w:id="883980956">
      <w:bodyDiv w:val="1"/>
      <w:marLeft w:val="0"/>
      <w:marRight w:val="0"/>
      <w:marTop w:val="0"/>
      <w:marBottom w:val="0"/>
      <w:divBdr>
        <w:top w:val="none" w:sz="0" w:space="0" w:color="auto"/>
        <w:left w:val="none" w:sz="0" w:space="0" w:color="auto"/>
        <w:bottom w:val="none" w:sz="0" w:space="0" w:color="auto"/>
        <w:right w:val="none" w:sz="0" w:space="0" w:color="auto"/>
      </w:divBdr>
    </w:div>
    <w:div w:id="909536191">
      <w:bodyDiv w:val="1"/>
      <w:marLeft w:val="0"/>
      <w:marRight w:val="0"/>
      <w:marTop w:val="0"/>
      <w:marBottom w:val="0"/>
      <w:divBdr>
        <w:top w:val="none" w:sz="0" w:space="0" w:color="auto"/>
        <w:left w:val="none" w:sz="0" w:space="0" w:color="auto"/>
        <w:bottom w:val="none" w:sz="0" w:space="0" w:color="auto"/>
        <w:right w:val="none" w:sz="0" w:space="0" w:color="auto"/>
      </w:divBdr>
    </w:div>
    <w:div w:id="1052653440">
      <w:bodyDiv w:val="1"/>
      <w:marLeft w:val="0"/>
      <w:marRight w:val="0"/>
      <w:marTop w:val="0"/>
      <w:marBottom w:val="0"/>
      <w:divBdr>
        <w:top w:val="none" w:sz="0" w:space="0" w:color="auto"/>
        <w:left w:val="none" w:sz="0" w:space="0" w:color="auto"/>
        <w:bottom w:val="none" w:sz="0" w:space="0" w:color="auto"/>
        <w:right w:val="none" w:sz="0" w:space="0" w:color="auto"/>
      </w:divBdr>
    </w:div>
    <w:div w:id="1551913782">
      <w:bodyDiv w:val="1"/>
      <w:marLeft w:val="0"/>
      <w:marRight w:val="0"/>
      <w:marTop w:val="0"/>
      <w:marBottom w:val="0"/>
      <w:divBdr>
        <w:top w:val="none" w:sz="0" w:space="0" w:color="auto"/>
        <w:left w:val="none" w:sz="0" w:space="0" w:color="auto"/>
        <w:bottom w:val="none" w:sz="0" w:space="0" w:color="auto"/>
        <w:right w:val="none" w:sz="0" w:space="0" w:color="auto"/>
      </w:divBdr>
    </w:div>
    <w:div w:id="1646932564">
      <w:bodyDiv w:val="1"/>
      <w:marLeft w:val="0"/>
      <w:marRight w:val="0"/>
      <w:marTop w:val="0"/>
      <w:marBottom w:val="0"/>
      <w:divBdr>
        <w:top w:val="none" w:sz="0" w:space="0" w:color="auto"/>
        <w:left w:val="none" w:sz="0" w:space="0" w:color="auto"/>
        <w:bottom w:val="none" w:sz="0" w:space="0" w:color="auto"/>
        <w:right w:val="none" w:sz="0" w:space="0" w:color="auto"/>
      </w:divBdr>
    </w:div>
    <w:div w:id="1693534812">
      <w:bodyDiv w:val="1"/>
      <w:marLeft w:val="0"/>
      <w:marRight w:val="0"/>
      <w:marTop w:val="0"/>
      <w:marBottom w:val="0"/>
      <w:divBdr>
        <w:top w:val="none" w:sz="0" w:space="0" w:color="auto"/>
        <w:left w:val="none" w:sz="0" w:space="0" w:color="auto"/>
        <w:bottom w:val="none" w:sz="0" w:space="0" w:color="auto"/>
        <w:right w:val="none" w:sz="0" w:space="0" w:color="auto"/>
      </w:divBdr>
    </w:div>
    <w:div w:id="1801415927">
      <w:bodyDiv w:val="1"/>
      <w:marLeft w:val="0"/>
      <w:marRight w:val="0"/>
      <w:marTop w:val="0"/>
      <w:marBottom w:val="0"/>
      <w:divBdr>
        <w:top w:val="none" w:sz="0" w:space="0" w:color="auto"/>
        <w:left w:val="none" w:sz="0" w:space="0" w:color="auto"/>
        <w:bottom w:val="none" w:sz="0" w:space="0" w:color="auto"/>
        <w:right w:val="none" w:sz="0" w:space="0" w:color="auto"/>
      </w:divBdr>
    </w:div>
    <w:div w:id="20319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8BAB9-CE49-4973-BC94-36696CC5C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1297</Words>
  <Characters>7393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PM:</cp:lastModifiedBy>
  <cp:revision>3</cp:revision>
  <dcterms:created xsi:type="dcterms:W3CDTF">2014-11-07T15:39:00Z</dcterms:created>
  <dcterms:modified xsi:type="dcterms:W3CDTF">2014-11-07T16:57:00Z</dcterms:modified>
</cp:coreProperties>
</file>